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21"/>
              <w:framePr w:wrap="notBeside" w:vAnchor="page" w:hAnchor="page" w:x="1372" w:y="568"/>
              <w:tabs>
                <w:tab w:val="clear" w:pos="4153"/>
                <w:tab w:val="clear" w:pos="8306"/>
              </w:tabs>
              <w:spacing w:line="240" w:lineRule="auto"/>
              <w:jc w:val="left"/>
              <w:rPr>
                <w:rFonts w:ascii="Times New Roman" w:hAnsi="Times New Roman" w:eastAsia="黑体"/>
                <w:sz w:val="21"/>
                <w:szCs w:val="21"/>
              </w:rPr>
            </w:pPr>
            <w:r>
              <w:rPr>
                <w:rFonts w:ascii="Times New Roman" w:hAnsi="Times New Roman" w:eastAsia="黑体"/>
                <w:sz w:val="21"/>
                <w:szCs w:val="21"/>
              </w:rPr>
              <w:t>ICS</w:t>
            </w:r>
          </w:p>
        </w:tc>
        <w:tc>
          <w:tcPr>
            <w:tcW w:w="8855" w:type="dxa"/>
          </w:tcPr>
          <w:p>
            <w:pPr>
              <w:pStyle w:val="21"/>
              <w:framePr w:wrap="notBeside" w:vAnchor="page" w:hAnchor="page" w:x="1372" w:y="568"/>
              <w:tabs>
                <w:tab w:val="clear" w:pos="4153"/>
                <w:tab w:val="clear" w:pos="8306"/>
              </w:tabs>
              <w:spacing w:line="240" w:lineRule="auto"/>
              <w:jc w:val="left"/>
              <w:rPr>
                <w:rFonts w:ascii="Times New Roman" w:hAnsi="Times New Roman" w:eastAsia="黑体"/>
                <w:sz w:val="21"/>
                <w:szCs w:val="21"/>
              </w:rPr>
            </w:pPr>
            <w:bookmarkStart w:id="0" w:name="ICS"/>
            <w:r>
              <w:rPr>
                <w:rFonts w:hint="eastAsia" w:ascii="Times New Roman" w:hAnsi="Times New Roman" w:eastAsia="黑体"/>
                <w:sz w:val="21"/>
                <w:szCs w:val="21"/>
              </w:rPr>
              <w:fldChar w:fldCharType="begin">
                <w:ffData>
                  <w:name w:val="ICS"/>
                  <w:enabled/>
                  <w:calcOnExit w:val="0"/>
                  <w:textInput>
                    <w:default w:val="xxx"/>
                  </w:textInput>
                </w:ffData>
              </w:fldChar>
            </w:r>
            <w:r>
              <w:rPr>
                <w:rFonts w:ascii="Times New Roman" w:hAnsi="Times New Roman" w:eastAsia="黑体"/>
                <w:sz w:val="21"/>
                <w:szCs w:val="21"/>
              </w:rPr>
              <w:instrText xml:space="preserve">FORMTEXT</w:instrText>
            </w:r>
            <w:r>
              <w:rPr>
                <w:rFonts w:hint="eastAsia" w:ascii="Times New Roman" w:hAnsi="Times New Roman" w:eastAsia="黑体"/>
                <w:sz w:val="21"/>
                <w:szCs w:val="21"/>
              </w:rPr>
              <w:fldChar w:fldCharType="separate"/>
            </w:r>
            <w:r>
              <w:rPr>
                <w:rFonts w:ascii="Times New Roman" w:hAnsi="Times New Roman" w:eastAsia="黑体"/>
                <w:sz w:val="21"/>
                <w:szCs w:val="21"/>
              </w:rPr>
              <w:t>xxx</w:t>
            </w:r>
            <w:r>
              <w:rPr>
                <w:rFonts w:hint="eastAsia" w:ascii="Times New Roman" w:hAnsi="Times New Roman"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21"/>
              <w:framePr w:wrap="notBeside" w:vAnchor="page" w:hAnchor="page" w:x="1372" w:y="568"/>
              <w:tabs>
                <w:tab w:val="clear" w:pos="4153"/>
                <w:tab w:val="clear" w:pos="8306"/>
              </w:tabs>
              <w:spacing w:before="40" w:line="240" w:lineRule="auto"/>
              <w:jc w:val="left"/>
              <w:rPr>
                <w:rFonts w:ascii="Times New Roman" w:hAnsi="Times New Roman" w:eastAsia="黑体"/>
                <w:sz w:val="21"/>
                <w:szCs w:val="21"/>
              </w:rPr>
            </w:pPr>
            <w:r>
              <w:rPr>
                <w:rFonts w:ascii="Times New Roman" w:hAnsi="Times New Roman" w:eastAsia="黑体"/>
                <w:sz w:val="21"/>
                <w:szCs w:val="21"/>
              </w:rPr>
              <w:t xml:space="preserve">CCS </w:t>
            </w:r>
          </w:p>
        </w:tc>
        <w:tc>
          <w:tcPr>
            <w:tcW w:w="8855" w:type="dxa"/>
          </w:tcPr>
          <w:p>
            <w:pPr>
              <w:pStyle w:val="21"/>
              <w:framePr w:wrap="notBeside" w:vAnchor="page" w:hAnchor="page" w:x="1372" w:y="568"/>
              <w:tabs>
                <w:tab w:val="clear" w:pos="4153"/>
                <w:tab w:val="clear" w:pos="8306"/>
              </w:tabs>
              <w:spacing w:before="40" w:line="240" w:lineRule="auto"/>
              <w:jc w:val="left"/>
              <w:rPr>
                <w:rFonts w:ascii="Times New Roman" w:hAnsi="Times New Roman" w:eastAsia="黑体"/>
                <w:sz w:val="21"/>
                <w:szCs w:val="21"/>
              </w:rPr>
            </w:pPr>
            <w:bookmarkStart w:id="1" w:name="CSDN"/>
            <w:r>
              <w:rPr>
                <w:rFonts w:ascii="Times New Roman" w:hAnsi="Times New Roman" w:eastAsia="黑体"/>
                <w:sz w:val="21"/>
                <w:szCs w:val="21"/>
              </w:rPr>
              <w:fldChar w:fldCharType="begin">
                <w:ffData>
                  <w:name w:val="CSDN"/>
                  <w:enabled/>
                  <w:calcOnExit w:val="0"/>
                  <w:textInput>
                    <w:default w:val="xxx"/>
                  </w:textInput>
                </w:ffData>
              </w:fldChar>
            </w:r>
            <w:r>
              <w:rPr>
                <w:rFonts w:ascii="Times New Roman" w:hAnsi="Times New Roman" w:eastAsia="黑体"/>
                <w:sz w:val="21"/>
                <w:szCs w:val="21"/>
              </w:rPr>
              <w:instrText xml:space="preserve">FORMTEXT</w:instrText>
            </w:r>
            <w:r>
              <w:rPr>
                <w:rFonts w:ascii="Times New Roman" w:hAnsi="Times New Roman" w:eastAsia="黑体"/>
                <w:sz w:val="21"/>
                <w:szCs w:val="21"/>
              </w:rPr>
              <w:fldChar w:fldCharType="separate"/>
            </w:r>
            <w:r>
              <w:rPr>
                <w:rFonts w:ascii="Times New Roman" w:hAnsi="Times New Roman" w:eastAsia="黑体"/>
                <w:sz w:val="21"/>
                <w:szCs w:val="21"/>
              </w:rPr>
              <w:t>xxx</w:t>
            </w:r>
            <w:r>
              <w:rPr>
                <w:rFonts w:ascii="Times New Roman" w:hAnsi="Times New Roman" w:eastAsia="黑体"/>
                <w:sz w:val="21"/>
                <w:szCs w:val="21"/>
              </w:rPr>
              <w:fldChar w:fldCharType="end"/>
            </w:r>
            <w:bookmarkEnd w:id="1"/>
          </w:p>
        </w:tc>
      </w:tr>
    </w:tbl>
    <w:tbl>
      <w:tblPr>
        <w:tblStyle w:val="30"/>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661"/>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61" w:type="dxa"/>
          </w:tcPr>
          <w:p>
            <w:pPr>
              <w:pStyle w:val="52"/>
              <w:framePr w:w="0" w:hRule="auto" w:wrap="auto" w:vAnchor="margin" w:hAnchor="text" w:xAlign="left" w:yAlign="inline"/>
              <w:rPr>
                <w:sz w:val="28"/>
                <w:szCs w:val="28"/>
              </w:rPr>
            </w:pPr>
            <w:bookmarkStart w:id="2" w:name="_Hlk26473981"/>
            <w:r>
              <w:t>DB</w:t>
            </w:r>
            <w:r>
              <w:fldChar w:fldCharType="begin">
                <w:ffData>
                  <w:name w:val="c1"/>
                  <w:enabled/>
                  <w:calcOnExit w:val="0"/>
                  <w:textInput>
                    <w:maxLength w:val="8"/>
                  </w:textInput>
                </w:ffData>
              </w:fldChar>
            </w:r>
            <w:bookmarkStart w:id="3" w:name="c1"/>
            <w:r>
              <w:instrText xml:space="preserve"> FORMTEXT </w:instrText>
            </w:r>
            <w:r>
              <w:fldChar w:fldCharType="separate"/>
            </w:r>
            <w:r>
              <w:t>42</w:t>
            </w:r>
            <w:r>
              <w:fldChar w:fldCharType="end"/>
            </w:r>
            <w:bookmarkEnd w:id="3"/>
          </w:p>
        </w:tc>
      </w:tr>
    </w:tbl>
    <w:p>
      <w:pPr>
        <w:pStyle w:val="53"/>
        <w:framePr w:w="9639" w:h="624" w:hRule="exact" w:hSpace="181" w:vSpace="181" w:wrap="around" w:hAnchor="page" w:x="1305" w:y="2269"/>
        <w:rPr>
          <w:rFonts w:ascii="Times New Roman" w:eastAsia="黑体"/>
          <w:b w:val="0"/>
          <w:bCs w:val="0"/>
          <w:w w:val="100"/>
          <w:sz w:val="48"/>
          <w:szCs w:val="48"/>
        </w:rPr>
      </w:pPr>
      <w:r>
        <w:rPr>
          <w:rFonts w:ascii="Times New Roman" w:eastAsia="黑体"/>
          <w:b w:val="0"/>
          <w:w w:val="100"/>
          <w:sz w:val="48"/>
        </w:rPr>
        <w:fldChar w:fldCharType="begin">
          <w:ffData>
            <w:name w:val="c2"/>
            <w:enabled/>
            <w:calcOnExit w:val="0"/>
            <w:textInput/>
          </w:ffData>
        </w:fldChar>
      </w:r>
      <w:bookmarkStart w:id="4" w:name="c2"/>
      <w:r>
        <w:rPr>
          <w:rFonts w:ascii="Times New Roman" w:eastAsia="黑体"/>
          <w:b w:val="0"/>
          <w:w w:val="100"/>
          <w:sz w:val="48"/>
        </w:rPr>
        <w:instrText xml:space="preserve"> FORMTEXT </w:instrText>
      </w:r>
      <w:r>
        <w:rPr>
          <w:rFonts w:ascii="Times New Roman" w:eastAsia="黑体"/>
          <w:b w:val="0"/>
          <w:w w:val="100"/>
          <w:sz w:val="48"/>
        </w:rPr>
        <w:fldChar w:fldCharType="separate"/>
      </w:r>
      <w:r>
        <w:rPr>
          <w:rFonts w:hint="eastAsia" w:ascii="Times New Roman" w:eastAsia="黑体"/>
          <w:b w:val="0"/>
          <w:w w:val="100"/>
          <w:sz w:val="48"/>
        </w:rPr>
        <w:t>湖北省</w:t>
      </w:r>
      <w:r>
        <w:rPr>
          <w:rFonts w:ascii="Times New Roman" w:eastAsia="黑体"/>
          <w:b w:val="0"/>
          <w:w w:val="100"/>
          <w:sz w:val="48"/>
        </w:rPr>
        <w:fldChar w:fldCharType="end"/>
      </w:r>
      <w:bookmarkEnd w:id="4"/>
      <w:r>
        <w:rPr>
          <w:rFonts w:hint="eastAsia" w:ascii="Times New Roman" w:eastAsia="黑体"/>
          <w:b w:val="0"/>
          <w:bCs w:val="0"/>
          <w:w w:val="100"/>
          <w:sz w:val="48"/>
          <w:szCs w:val="48"/>
        </w:rPr>
        <w:t>地方标准</w:t>
      </w:r>
    </w:p>
    <w:bookmarkEnd w:id="2"/>
    <w:p>
      <w:pPr>
        <w:pStyle w:val="198"/>
        <w:rPr>
          <w:rFonts w:hint="default" w:eastAsia="黑体"/>
          <w:lang w:val="en-US" w:eastAsia="zh-CN"/>
        </w:rPr>
      </w:pPr>
      <w:r>
        <w:rPr>
          <w:lang w:val="fr-FR"/>
        </w:rPr>
        <w:t>DB</w:t>
      </w:r>
      <w:r>
        <w:rPr>
          <w:lang w:val="fr-FR"/>
        </w:rPr>
        <w:fldChar w:fldCharType="begin">
          <w:ffData>
            <w:name w:val="文字1"/>
            <w:enabled/>
            <w:calcOnExit w:val="0"/>
            <w:textInput>
              <w:default w:val="XX"/>
            </w:textInput>
          </w:ffData>
        </w:fldChar>
      </w:r>
      <w:bookmarkStart w:id="5" w:name="文字1"/>
      <w:r>
        <w:rPr>
          <w:lang w:val="fr-FR"/>
        </w:rPr>
        <w:instrText xml:space="preserve"> FORMTEXT </w:instrText>
      </w:r>
      <w:r>
        <w:rPr>
          <w:lang w:val="fr-FR"/>
        </w:rPr>
        <w:fldChar w:fldCharType="separate"/>
      </w:r>
      <w:r>
        <w:rPr>
          <w:lang w:val="fr-FR"/>
        </w:rPr>
        <w:t>42/T</w:t>
      </w:r>
      <w:r>
        <w:rPr>
          <w:lang w:val="fr-FR"/>
        </w:rPr>
        <w:fldChar w:fldCharType="end"/>
      </w:r>
      <w:bookmarkEnd w:id="5"/>
      <w:bookmarkStart w:id="6" w:name="NSTD_CODE_F"/>
      <w:r>
        <w:rPr>
          <w:lang w:val="fr-FR"/>
        </w:rPr>
        <w:t xml:space="preserve"> </w:t>
      </w:r>
      <w:r>
        <w:rPr>
          <w:lang w:val="fr-FR"/>
        </w:rPr>
        <w:fldChar w:fldCharType="begin">
          <w:ffData>
            <w:name w:val="NSTD_CODE_F"/>
            <w:enabled/>
            <w:calcOnExit w:val="0"/>
            <w:textInput>
              <w:default w:val="XXXXX"/>
            </w:textInput>
          </w:ffData>
        </w:fldChar>
      </w:r>
      <w:r>
        <w:rPr>
          <w:lang w:val="fr-FR"/>
        </w:rPr>
        <w:instrText xml:space="preserve">FORMTEXT</w:instrText>
      </w:r>
      <w:r>
        <w:rPr>
          <w:lang w:val="fr-FR"/>
        </w:rPr>
        <w:fldChar w:fldCharType="separate"/>
      </w:r>
      <w:r>
        <w:rPr>
          <w:lang w:val="fr-FR"/>
        </w:rPr>
        <w:t>XXXXX</w:t>
      </w:r>
      <w:r>
        <w:rPr>
          <w:lang w:val="fr-FR"/>
        </w:rPr>
        <w:fldChar w:fldCharType="end"/>
      </w:r>
      <w:bookmarkEnd w:id="6"/>
      <w:r>
        <w:rPr>
          <w:lang w:val="fr-FR"/>
        </w:rPr>
        <w:t>—</w:t>
      </w:r>
      <w:r>
        <w:rPr>
          <w:rFonts w:hint="eastAsia"/>
          <w:lang w:val="en-US" w:eastAsia="zh-CN"/>
        </w:rPr>
        <w:t>XXXX</w:t>
      </w:r>
    </w:p>
    <w:p>
      <w:pPr>
        <w:pStyle w:val="199"/>
        <w:rPr>
          <w:rFonts w:ascii="Times New Roman"/>
        </w:rPr>
      </w:pPr>
      <w:r>
        <w:rPr>
          <w:rFonts w:ascii="Times New Roman"/>
        </w:rPr>
        <w:fldChar w:fldCharType="begin">
          <w:ffData>
            <w:name w:val="OSTD_CODE"/>
            <w:enabled/>
            <w:calcOnExit w:val="0"/>
            <w:textInput/>
          </w:ffData>
        </w:fldChar>
      </w:r>
      <w:bookmarkStart w:id="7" w:name="OSTD_CODE"/>
      <w:r>
        <w:rPr>
          <w:rFonts w:ascii="Times New Roman"/>
        </w:rPr>
        <w:instrText xml:space="preserve"> FORMTEXT </w:instrText>
      </w:r>
      <w:r>
        <w:rPr>
          <w:rFonts w:ascii="Times New Roman"/>
        </w:rPr>
        <w:fldChar w:fldCharType="separate"/>
      </w:r>
      <w:r>
        <w:rPr>
          <w:rFonts w:ascii="Times New Roman"/>
        </w:rPr>
        <w:t>     </w:t>
      </w:r>
      <w:r>
        <w:rPr>
          <w:rFonts w:ascii="Times New Roman"/>
        </w:rPr>
        <w:fldChar w:fldCharType="end"/>
      </w:r>
      <w:bookmarkEnd w:id="7"/>
    </w:p>
    <w:p>
      <w:pPr>
        <w:spacing w:line="240" w:lineRule="auto"/>
        <w:rPr>
          <w:rFonts w:ascii="Times New Roman" w:hAnsi="Times New Roman" w:eastAsia="黑体"/>
          <w:kern w:val="0"/>
          <w:sz w:val="10"/>
          <w:szCs w:val="10"/>
        </w:rPr>
      </w:pPr>
      <w:r>
        <w:rPr>
          <w:rFonts w:ascii="Times New Roman" w:hAnsi="Times New Roman" w:eastAsia="黑体"/>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eD&#10;SZbYAAAADAEAAA8AAAAAAAAAAQAgAAAAIgAAAGRycy9kb3ducmV2LnhtbFBLAQIUABQAAAAIAIdO&#10;4kDurh1R6gEAALoDAAAOAAAAAAAAAAEAIAAAACcBAABkcnMvZTJvRG9jLnhtbFBLBQYAAAAABgAG&#10;AFkBAACDBQAAAAA=&#10;">
                <v:fill on="f" focussize="0,0"/>
                <v:stroke color="#000000" joinstyle="round"/>
                <v:imagedata o:title=""/>
                <o:lock v:ext="edit" aspectratio="f"/>
              </v:line>
            </w:pict>
          </mc:Fallback>
        </mc:AlternateContent>
      </w:r>
    </w:p>
    <w:p>
      <w:pPr>
        <w:pStyle w:val="53"/>
        <w:framePr w:w="9639" w:h="6976" w:hRule="exact" w:hSpace="0" w:vSpace="0" w:wrap="around" w:hAnchor="page" w:y="6408"/>
        <w:jc w:val="center"/>
        <w:rPr>
          <w:rFonts w:ascii="Times New Roman" w:eastAsia="黑体"/>
          <w:b w:val="0"/>
          <w:bCs w:val="0"/>
          <w:w w:val="100"/>
        </w:rPr>
      </w:pPr>
    </w:p>
    <w:p>
      <w:pPr>
        <w:pStyle w:val="200"/>
        <w:framePr w:h="6974" w:hRule="exact" w:wrap="around" w:x="1419" w:anchorLock="1"/>
        <w:rPr>
          <w:rFonts w:hint="eastAsia" w:ascii="Times New Roman" w:hAnsi="Times New Roman" w:eastAsia="黑体"/>
          <w:lang w:eastAsia="zh-CN"/>
        </w:rPr>
      </w:pPr>
      <w:r>
        <w:rPr>
          <w:rFonts w:hint="eastAsia" w:ascii="Times New Roman" w:hAnsi="Times New Roman"/>
        </w:rPr>
        <w:t>重大活动餐饮服务食品安全保障操作规范</w:t>
      </w:r>
      <w:r>
        <w:rPr>
          <w:rFonts w:hint="eastAsia" w:ascii="Times New Roman" w:hAnsi="Times New Roman"/>
          <w:lang w:eastAsia="zh-CN"/>
        </w:rPr>
        <w:t>（</w:t>
      </w:r>
      <w:r>
        <w:rPr>
          <w:rFonts w:hint="eastAsia" w:ascii="Times New Roman" w:hAnsi="Times New Roman"/>
          <w:lang w:val="en-US" w:eastAsia="zh-CN"/>
        </w:rPr>
        <w:t>征求意见稿</w:t>
      </w:r>
      <w:r>
        <w:rPr>
          <w:rFonts w:hint="eastAsia" w:ascii="Times New Roman" w:hAnsi="Times New Roman"/>
          <w:lang w:eastAsia="zh-CN"/>
        </w:rPr>
        <w:t>）</w:t>
      </w:r>
    </w:p>
    <w:p>
      <w:pPr>
        <w:framePr w:w="9639" w:h="6974" w:hRule="exact" w:wrap="around" w:vAnchor="page" w:hAnchor="page" w:x="1419" w:y="6408" w:anchorLock="1"/>
        <w:ind w:left="-1418"/>
        <w:rPr>
          <w:rFonts w:ascii="Times New Roman" w:hAnsi="Times New Roman"/>
        </w:rPr>
      </w:pPr>
    </w:p>
    <w:p>
      <w:pPr>
        <w:pStyle w:val="128"/>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t>Food safety guidelines for catering services at major events</w:t>
      </w:r>
    </w:p>
    <w:p>
      <w:pPr>
        <w:pStyle w:val="128"/>
        <w:framePr w:w="9639" w:h="6974" w:hRule="exact" w:wrap="around" w:vAnchor="page" w:hAnchor="page" w:x="1419" w:y="6408" w:anchorLock="1"/>
        <w:textAlignment w:val="bottom"/>
        <w:rPr>
          <w:rFonts w:eastAsia="黑体"/>
          <w:szCs w:val="28"/>
        </w:rPr>
      </w:pPr>
    </w:p>
    <w:p>
      <w:pPr>
        <w:framePr w:w="9639" w:h="6974" w:hRule="exact" w:wrap="around" w:vAnchor="page" w:hAnchor="page" w:x="1419" w:y="6408" w:anchorLock="1"/>
        <w:spacing w:line="760" w:lineRule="exact"/>
        <w:ind w:left="-1418"/>
        <w:rPr>
          <w:rFonts w:ascii="Times New Roman" w:hAnsi="Times New Roman"/>
        </w:rPr>
      </w:pPr>
    </w:p>
    <w:p>
      <w:pPr>
        <w:pStyle w:val="196"/>
        <w:framePr w:wrap="around" w:y="14176"/>
        <w:rPr>
          <w:rFonts w:ascii="黑体"/>
        </w:rPr>
      </w:pPr>
      <w:r>
        <w:rPr>
          <w:rFonts w:hint="eastAsia" w:ascii="黑体"/>
          <w:lang w:val="en-US" w:eastAsia="zh-CN"/>
        </w:rPr>
        <w:t>XXXX</w:t>
      </w:r>
      <w:r>
        <w:rPr>
          <w:rFonts w:ascii="黑体"/>
        </w:rPr>
        <w:t>-</w:t>
      </w:r>
      <w:bookmarkStart w:id="8" w:name="PLSH_DATE_M"/>
      <w:r>
        <w:rPr>
          <w:rFonts w:hint="eastAsia" w:ascii="黑体"/>
        </w:rPr>
        <w:fldChar w:fldCharType="begin">
          <w:ffData>
            <w:name w:val="PLSH_DATE_M"/>
            <w:enabled/>
            <w:calcOnExit w:val="0"/>
            <w:textInput>
              <w:default w:val="XX"/>
              <w:maxLength w:val="2"/>
            </w:textInput>
          </w:ffData>
        </w:fldChar>
      </w:r>
      <w:r>
        <w:rPr>
          <w:rFonts w:ascii="黑体"/>
        </w:rPr>
        <w:instrText xml:space="preserve">FORMTEXT</w:instrText>
      </w:r>
      <w:r>
        <w:rPr>
          <w:rFonts w:hint="eastAsia" w:ascii="黑体"/>
        </w:rPr>
        <w:fldChar w:fldCharType="separate"/>
      </w:r>
      <w:r>
        <w:rPr>
          <w:rFonts w:ascii="黑体"/>
        </w:rPr>
        <w:t>XX</w:t>
      </w:r>
      <w:r>
        <w:rPr>
          <w:rFonts w:hint="eastAsia" w:ascii="黑体"/>
        </w:rPr>
        <w:fldChar w:fldCharType="end"/>
      </w:r>
      <w:bookmarkEnd w:id="8"/>
      <w:r>
        <w:rPr>
          <w:rFonts w:ascii="黑体"/>
        </w:rPr>
        <w:t>-</w:t>
      </w:r>
      <w:bookmarkStart w:id="9" w:name="PLSH_DATE_D"/>
      <w:r>
        <w:rPr>
          <w:rFonts w:hint="eastAsia" w:ascii="黑体"/>
        </w:rPr>
        <w:fldChar w:fldCharType="begin">
          <w:ffData>
            <w:name w:val="PLSH_DATE_D"/>
            <w:enabled/>
            <w:calcOnExit w:val="0"/>
            <w:textInput>
              <w:default w:val="XX"/>
              <w:maxLength w:val="2"/>
            </w:textInput>
          </w:ffData>
        </w:fldChar>
      </w:r>
      <w:r>
        <w:rPr>
          <w:rFonts w:ascii="黑体"/>
        </w:rPr>
        <w:instrText xml:space="preserve">FORMTEXT</w:instrText>
      </w:r>
      <w:r>
        <w:rPr>
          <w:rFonts w:hint="eastAsia" w:ascii="黑体"/>
        </w:rPr>
        <w:fldChar w:fldCharType="separate"/>
      </w:r>
      <w:r>
        <w:rPr>
          <w:rFonts w:ascii="黑体"/>
        </w:rPr>
        <w:t>XX</w:t>
      </w:r>
      <w:r>
        <w:rPr>
          <w:rFonts w:hint="eastAsia" w:ascii="黑体"/>
        </w:rPr>
        <w:fldChar w:fldCharType="end"/>
      </w:r>
      <w:bookmarkEnd w:id="9"/>
      <w:r>
        <w:rPr>
          <w:rFonts w:hint="eastAsia" w:ascii="黑体"/>
        </w:rPr>
        <w:t>发布</w:t>
      </w:r>
    </w:p>
    <w:p>
      <w:pPr>
        <w:pStyle w:val="197"/>
        <w:framePr w:wrap="around" w:y="14176"/>
        <w:rPr>
          <w:rFonts w:ascii="黑体"/>
        </w:rPr>
      </w:pPr>
      <w:r>
        <w:rPr>
          <w:rFonts w:hint="eastAsia" w:ascii="黑体"/>
          <w:lang w:val="en-US" w:eastAsia="zh-CN"/>
        </w:rPr>
        <w:t>XXXX</w:t>
      </w:r>
      <w:r>
        <w:rPr>
          <w:rFonts w:ascii="黑体"/>
        </w:rPr>
        <w:t>-XX-</w:t>
      </w:r>
      <w:bookmarkStart w:id="10" w:name="CROT_DATE_D"/>
      <w:r>
        <w:rPr>
          <w:rFonts w:hint="eastAsia" w:ascii="黑体"/>
        </w:rPr>
        <w:fldChar w:fldCharType="begin">
          <w:ffData>
            <w:name w:val="CROT_DATE_D"/>
            <w:enabled/>
            <w:calcOnExit w:val="0"/>
            <w:textInput>
              <w:default w:val="XX"/>
              <w:maxLength w:val="2"/>
            </w:textInput>
          </w:ffData>
        </w:fldChar>
      </w:r>
      <w:r>
        <w:rPr>
          <w:rFonts w:ascii="黑体"/>
        </w:rPr>
        <w:instrText xml:space="preserve">FORMTEXT</w:instrText>
      </w:r>
      <w:r>
        <w:rPr>
          <w:rFonts w:hint="eastAsia" w:ascii="黑体"/>
        </w:rPr>
        <w:fldChar w:fldCharType="separate"/>
      </w:r>
      <w:r>
        <w:rPr>
          <w:rFonts w:ascii="黑体"/>
        </w:rPr>
        <w:t>XX</w:t>
      </w:r>
      <w:r>
        <w:rPr>
          <w:rFonts w:hint="eastAsia" w:ascii="黑体"/>
        </w:rPr>
        <w:fldChar w:fldCharType="end"/>
      </w:r>
      <w:bookmarkEnd w:id="10"/>
      <w:r>
        <w:rPr>
          <w:rFonts w:hint="eastAsia" w:ascii="黑体"/>
        </w:rPr>
        <w:t>实施</w:t>
      </w:r>
    </w:p>
    <w:p>
      <w:pPr>
        <w:pStyle w:val="154"/>
        <w:framePr w:h="584" w:hRule="exact" w:hSpace="181" w:vSpace="181" w:wrap="around" w:y="15027"/>
        <w:rPr>
          <w:rFonts w:ascii="Times New Roman"/>
        </w:rPr>
      </w:pPr>
      <w:r>
        <w:rPr>
          <w:rFonts w:hAnsi="黑体"/>
          <w:w w:val="100"/>
          <w:sz w:val="28"/>
        </w:rPr>
        <w:fldChar w:fldCharType="begin">
          <w:ffData>
            <w:name w:val="fm"/>
            <w:enabled/>
            <w:calcOnExit w:val="0"/>
            <w:textInput/>
          </w:ffData>
        </w:fldChar>
      </w:r>
      <w:bookmarkStart w:id="11" w:name="fm"/>
      <w:r>
        <w:rPr>
          <w:rFonts w:hAnsi="黑体"/>
          <w:w w:val="100"/>
          <w:sz w:val="28"/>
        </w:rPr>
        <w:instrText xml:space="preserve"> FORMTEXT </w:instrText>
      </w:r>
      <w:r>
        <w:rPr>
          <w:rFonts w:hAnsi="黑体"/>
          <w:w w:val="100"/>
          <w:sz w:val="28"/>
        </w:rPr>
        <w:fldChar w:fldCharType="separate"/>
      </w:r>
      <w:r>
        <w:rPr>
          <w:rFonts w:hint="eastAsia" w:hAnsi="黑体"/>
          <w:w w:val="100"/>
          <w:sz w:val="28"/>
        </w:rPr>
        <w:t>湖北省市场监督管理局</w:t>
      </w:r>
      <w:r>
        <w:rPr>
          <w:rFonts w:hAnsi="黑体"/>
          <w:w w:val="100"/>
          <w:sz w:val="28"/>
        </w:rPr>
        <w:fldChar w:fldCharType="end"/>
      </w:r>
      <w:bookmarkEnd w:id="11"/>
      <w:r>
        <w:rPr>
          <w:rFonts w:hAnsi="黑体"/>
          <w:w w:val="100"/>
          <w:sz w:val="28"/>
        </w:rPr>
        <w:t>  </w:t>
      </w:r>
      <w:r>
        <w:rPr>
          <w:rFonts w:hint="eastAsia" w:hAnsi="黑体"/>
          <w:w w:val="100"/>
          <w:sz w:val="28"/>
        </w:rPr>
        <w:t>发布</w:t>
      </w:r>
    </w:p>
    <w:p>
      <w:pPr>
        <w:rPr>
          <w:rFonts w:ascii="Times New Roman" w:hAnsi="Times New Roman"/>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ascii="Times New Roman" w:hAnsi="Times New Roman"/>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szHPvX&#10;AAAADgEAAA8AAAAAAAAAAQAgAAAAIgAAAGRycy9kb3ducmV2LnhtbFBLAQIUABQAAAAIAIdO4kB3&#10;Ymi56AEAALgDAAAOAAAAAAAAAAEAIAAAACYBAABkcnMvZTJvRG9jLnhtbFBLBQYAAAAABgAGAFkB&#10;AACABQAAAAA=&#10;">
                <v:fill on="f" focussize="0,0"/>
                <v:stroke color="#000000" joinstyle="round"/>
                <v:imagedata o:title=""/>
                <o:lock v:ext="edit" aspectratio="f"/>
                <w10:anchorlock/>
              </v:line>
            </w:pict>
          </mc:Fallback>
        </mc:AlternateContent>
      </w:r>
    </w:p>
    <w:sdt>
      <w:sdtPr>
        <w:rPr>
          <w:rFonts w:ascii="Calibri" w:hAnsi="Calibri" w:eastAsia="宋体" w:cs="Times New Roman"/>
          <w:b w:val="0"/>
          <w:bCs w:val="0"/>
          <w:color w:val="auto"/>
          <w:kern w:val="2"/>
          <w:sz w:val="21"/>
          <w:szCs w:val="21"/>
          <w:lang w:val="zh-CN"/>
        </w:rPr>
        <w:id w:val="466322002"/>
        <w:docPartObj>
          <w:docPartGallery w:val="Table of Contents"/>
          <w:docPartUnique/>
        </w:docPartObj>
      </w:sdtPr>
      <w:sdtEndPr>
        <w:rPr>
          <w:rFonts w:ascii="Calibri" w:hAnsi="Calibri" w:eastAsia="宋体" w:cs="Times New Roman"/>
          <w:b w:val="0"/>
          <w:bCs w:val="0"/>
          <w:color w:val="auto"/>
          <w:kern w:val="2"/>
          <w:sz w:val="21"/>
          <w:szCs w:val="21"/>
          <w:lang w:val="zh-CN"/>
        </w:rPr>
      </w:sdtEndPr>
      <w:sdtContent>
        <w:p>
          <w:pPr>
            <w:pStyle w:val="248"/>
            <w:jc w:val="center"/>
            <w:rPr>
              <w:rFonts w:ascii="Calibri" w:hAnsi="Calibri" w:eastAsia="宋体" w:cs="Times New Roman"/>
              <w:b w:val="0"/>
              <w:bCs w:val="0"/>
              <w:color w:val="auto"/>
              <w:kern w:val="2"/>
              <w:sz w:val="21"/>
              <w:szCs w:val="21"/>
              <w:lang w:val="zh-CN"/>
            </w:rPr>
            <w:sectPr>
              <w:headerReference r:id="rId9" w:type="default"/>
              <w:footerReference r:id="rId11" w:type="default"/>
              <w:headerReference r:id="rId10" w:type="even"/>
              <w:footerReference r:id="rId12" w:type="even"/>
              <w:pgSz w:w="11906" w:h="16838"/>
              <w:pgMar w:top="567" w:right="1134" w:bottom="1134" w:left="1134" w:header="1418" w:footer="1134" w:gutter="284"/>
              <w:pgNumType w:fmt="upperRoman"/>
              <w:cols w:space="425" w:num="1"/>
              <w:formProt w:val="0"/>
              <w:docGrid w:type="lines" w:linePitch="312" w:charSpace="0"/>
            </w:sectPr>
          </w:pPr>
          <w:bookmarkStart w:id="12" w:name="BookMark1"/>
        </w:p>
        <w:p>
          <w:pPr>
            <w:pStyle w:val="94"/>
            <w:spacing w:before="480" w:after="468"/>
            <w:rPr>
              <w:spacing w:val="320"/>
            </w:rPr>
          </w:pPr>
          <w:r>
            <w:rPr>
              <w:rFonts w:hint="eastAsia"/>
              <w:spacing w:val="320"/>
              <w:lang w:val="zh-CN"/>
            </w:rPr>
            <w:t>目次</w:t>
          </w:r>
        </w:p>
        <w:p>
          <w:pPr>
            <w:pStyle w:val="22"/>
            <w:tabs>
              <w:tab w:val="right" w:leader="dot" w:pos="9344"/>
            </w:tabs>
            <w:rPr>
              <w:rFonts w:hAnsi="宋体" w:cs="宋体"/>
              <w:szCs w:val="22"/>
            </w:rPr>
          </w:pPr>
          <w:r>
            <w:fldChar w:fldCharType="begin"/>
          </w:r>
          <w:r>
            <w:instrText xml:space="preserve"> TOC \o "1-3" \h \z \u </w:instrText>
          </w:r>
          <w:r>
            <w:fldChar w:fldCharType="separate"/>
          </w:r>
          <w:r>
            <w:fldChar w:fldCharType="begin"/>
          </w:r>
          <w:r>
            <w:instrText xml:space="preserve"> HYPERLINK \l "_Toc105509168" </w:instrText>
          </w:r>
          <w:r>
            <w:fldChar w:fldCharType="separate"/>
          </w:r>
          <w:r>
            <w:rPr>
              <w:rFonts w:hint="eastAsia"/>
            </w:rPr>
            <w:t>前</w:t>
          </w:r>
          <w:r>
            <w:rPr>
              <w:rStyle w:val="35"/>
              <w:rFonts w:hint="eastAsia" w:ascii="Times New Roman"/>
            </w:rPr>
            <w:t>言</w:t>
          </w:r>
          <w:r>
            <w:tab/>
          </w:r>
          <w:r>
            <w:rPr>
              <w:rFonts w:hint="eastAsia" w:hAnsi="宋体" w:cs="宋体"/>
            </w:rPr>
            <w:t>Ⅱ</w:t>
          </w:r>
          <w:r>
            <w:rPr>
              <w:rFonts w:hint="eastAsia" w:hAnsi="宋体" w:cs="宋体"/>
            </w:rPr>
            <w:fldChar w:fldCharType="end"/>
          </w:r>
        </w:p>
        <w:p>
          <w:pPr>
            <w:pStyle w:val="22"/>
            <w:tabs>
              <w:tab w:val="right" w:leader="dot" w:pos="9344"/>
            </w:tabs>
            <w:rPr>
              <w:rFonts w:asciiTheme="minorHAnsi" w:hAnsiTheme="minorHAnsi" w:eastAsiaTheme="minorEastAsia" w:cstheme="minorBidi"/>
              <w:szCs w:val="22"/>
            </w:rPr>
          </w:pPr>
          <w:r>
            <w:fldChar w:fldCharType="begin"/>
          </w:r>
          <w:r>
            <w:instrText xml:space="preserve"> HYPERLINK \l "_Toc105509169" </w:instrText>
          </w:r>
          <w:r>
            <w:fldChar w:fldCharType="separate"/>
          </w:r>
          <w:r>
            <w:rPr>
              <w:rStyle w:val="35"/>
            </w:rPr>
            <w:t>1</w:t>
          </w:r>
          <w:r>
            <w:rPr>
              <w:rStyle w:val="35"/>
              <w:rFonts w:hint="eastAsia" w:ascii="Times New Roman"/>
            </w:rPr>
            <w:t xml:space="preserve"> 范围</w:t>
          </w:r>
          <w:r>
            <w:tab/>
          </w:r>
          <w:r>
            <w:fldChar w:fldCharType="begin"/>
          </w:r>
          <w:r>
            <w:instrText xml:space="preserve"> PAGEREF _Toc105509169 \h </w:instrText>
          </w:r>
          <w:r>
            <w:fldChar w:fldCharType="separate"/>
          </w:r>
          <w:r>
            <w:t>1</w:t>
          </w:r>
          <w:r>
            <w:fldChar w:fldCharType="end"/>
          </w:r>
          <w:r>
            <w:fldChar w:fldCharType="end"/>
          </w:r>
        </w:p>
        <w:p>
          <w:pPr>
            <w:pStyle w:val="22"/>
            <w:tabs>
              <w:tab w:val="right" w:leader="dot" w:pos="9344"/>
            </w:tabs>
            <w:rPr>
              <w:rFonts w:asciiTheme="minorHAnsi" w:hAnsiTheme="minorHAnsi" w:eastAsiaTheme="minorEastAsia" w:cstheme="minorBidi"/>
              <w:szCs w:val="22"/>
            </w:rPr>
          </w:pPr>
          <w:r>
            <w:fldChar w:fldCharType="begin"/>
          </w:r>
          <w:r>
            <w:instrText xml:space="preserve"> HYPERLINK \l "_Toc105509170" </w:instrText>
          </w:r>
          <w:r>
            <w:fldChar w:fldCharType="separate"/>
          </w:r>
          <w:r>
            <w:rPr>
              <w:rStyle w:val="35"/>
            </w:rPr>
            <w:t>2</w:t>
          </w:r>
          <w:r>
            <w:rPr>
              <w:rStyle w:val="35"/>
              <w:rFonts w:hint="eastAsia" w:ascii="Times New Roman"/>
            </w:rPr>
            <w:t xml:space="preserve"> 规范性引用文件</w:t>
          </w:r>
          <w:r>
            <w:tab/>
          </w:r>
          <w:r>
            <w:fldChar w:fldCharType="begin"/>
          </w:r>
          <w:r>
            <w:instrText xml:space="preserve"> PAGEREF _Toc105509170 \h </w:instrText>
          </w:r>
          <w:r>
            <w:fldChar w:fldCharType="separate"/>
          </w:r>
          <w:r>
            <w:t>1</w:t>
          </w:r>
          <w:r>
            <w:fldChar w:fldCharType="end"/>
          </w:r>
          <w:r>
            <w:fldChar w:fldCharType="end"/>
          </w:r>
        </w:p>
        <w:p>
          <w:pPr>
            <w:pStyle w:val="22"/>
            <w:tabs>
              <w:tab w:val="right" w:leader="dot" w:pos="9344"/>
            </w:tabs>
            <w:rPr>
              <w:rFonts w:asciiTheme="minorHAnsi" w:hAnsiTheme="minorHAnsi" w:eastAsiaTheme="minorEastAsia" w:cstheme="minorBidi"/>
              <w:szCs w:val="22"/>
            </w:rPr>
          </w:pPr>
          <w:r>
            <w:fldChar w:fldCharType="begin"/>
          </w:r>
          <w:r>
            <w:instrText xml:space="preserve"> HYPERLINK \l "_Toc105509171" </w:instrText>
          </w:r>
          <w:r>
            <w:fldChar w:fldCharType="separate"/>
          </w:r>
          <w:r>
            <w:rPr>
              <w:rStyle w:val="35"/>
            </w:rPr>
            <w:t>3</w:t>
          </w:r>
          <w:r>
            <w:rPr>
              <w:rStyle w:val="35"/>
              <w:rFonts w:hint="eastAsia" w:ascii="Times New Roman"/>
            </w:rPr>
            <w:t xml:space="preserve"> 术语和定义</w:t>
          </w:r>
          <w:r>
            <w:tab/>
          </w:r>
          <w:r>
            <w:fldChar w:fldCharType="begin"/>
          </w:r>
          <w:r>
            <w:instrText xml:space="preserve"> PAGEREF _Toc105509171 \h </w:instrText>
          </w:r>
          <w:r>
            <w:fldChar w:fldCharType="separate"/>
          </w:r>
          <w:r>
            <w:t>1</w:t>
          </w:r>
          <w:r>
            <w:fldChar w:fldCharType="end"/>
          </w:r>
          <w:r>
            <w:fldChar w:fldCharType="end"/>
          </w:r>
        </w:p>
        <w:p>
          <w:pPr>
            <w:pStyle w:val="22"/>
            <w:tabs>
              <w:tab w:val="right" w:leader="dot" w:pos="9344"/>
            </w:tabs>
            <w:rPr>
              <w:rFonts w:asciiTheme="minorHAnsi" w:hAnsiTheme="minorHAnsi" w:eastAsiaTheme="minorEastAsia" w:cstheme="minorBidi"/>
              <w:szCs w:val="22"/>
            </w:rPr>
          </w:pPr>
          <w:r>
            <w:fldChar w:fldCharType="begin"/>
          </w:r>
          <w:r>
            <w:instrText xml:space="preserve"> HYPERLINK \l "_Toc105509177" </w:instrText>
          </w:r>
          <w:r>
            <w:fldChar w:fldCharType="separate"/>
          </w:r>
          <w:r>
            <w:rPr>
              <w:rStyle w:val="35"/>
            </w:rPr>
            <w:t>4</w:t>
          </w:r>
          <w:r>
            <w:rPr>
              <w:rStyle w:val="35"/>
              <w:rFonts w:hint="eastAsia" w:ascii="Times New Roman"/>
            </w:rPr>
            <w:t xml:space="preserve"> 保障分级</w:t>
          </w:r>
          <w:r>
            <w:tab/>
          </w:r>
          <w:r>
            <w:fldChar w:fldCharType="begin"/>
          </w:r>
          <w:r>
            <w:instrText xml:space="preserve"> PAGEREF _Toc105509177 \h </w:instrText>
          </w:r>
          <w:r>
            <w:fldChar w:fldCharType="separate"/>
          </w:r>
          <w:r>
            <w:t>1</w:t>
          </w:r>
          <w:r>
            <w:fldChar w:fldCharType="end"/>
          </w:r>
          <w:r>
            <w:fldChar w:fldCharType="end"/>
          </w:r>
        </w:p>
        <w:p>
          <w:pPr>
            <w:pStyle w:val="22"/>
            <w:tabs>
              <w:tab w:val="right" w:leader="dot" w:pos="9344"/>
            </w:tabs>
            <w:rPr>
              <w:rFonts w:asciiTheme="minorHAnsi" w:hAnsiTheme="minorHAnsi" w:eastAsiaTheme="minorEastAsia" w:cstheme="minorBidi"/>
              <w:szCs w:val="22"/>
            </w:rPr>
          </w:pPr>
          <w:r>
            <w:fldChar w:fldCharType="begin"/>
          </w:r>
          <w:r>
            <w:instrText xml:space="preserve"> HYPERLINK \l "_Toc105509178" </w:instrText>
          </w:r>
          <w:r>
            <w:fldChar w:fldCharType="separate"/>
          </w:r>
          <w:r>
            <w:rPr>
              <w:rStyle w:val="35"/>
            </w:rPr>
            <w:t>5</w:t>
          </w:r>
          <w:r>
            <w:rPr>
              <w:rStyle w:val="35"/>
              <w:rFonts w:hint="eastAsia" w:ascii="Times New Roman"/>
            </w:rPr>
            <w:t xml:space="preserve"> 职责分工</w:t>
          </w:r>
          <w:r>
            <w:tab/>
          </w:r>
          <w:r>
            <w:fldChar w:fldCharType="begin"/>
          </w:r>
          <w:r>
            <w:instrText xml:space="preserve"> PAGEREF _Toc105509178 \h </w:instrText>
          </w:r>
          <w:r>
            <w:fldChar w:fldCharType="separate"/>
          </w:r>
          <w:r>
            <w:t>2</w:t>
          </w:r>
          <w:r>
            <w:fldChar w:fldCharType="end"/>
          </w:r>
          <w:r>
            <w:fldChar w:fldCharType="end"/>
          </w:r>
        </w:p>
        <w:p>
          <w:pPr>
            <w:pStyle w:val="22"/>
            <w:tabs>
              <w:tab w:val="right" w:leader="dot" w:pos="9344"/>
            </w:tabs>
            <w:rPr>
              <w:rFonts w:asciiTheme="minorHAnsi" w:hAnsiTheme="minorHAnsi" w:eastAsiaTheme="minorEastAsia" w:cstheme="minorBidi"/>
              <w:szCs w:val="22"/>
            </w:rPr>
          </w:pPr>
          <w:r>
            <w:fldChar w:fldCharType="begin"/>
          </w:r>
          <w:r>
            <w:instrText xml:space="preserve"> HYPERLINK \l "_Toc105509182" </w:instrText>
          </w:r>
          <w:r>
            <w:fldChar w:fldCharType="separate"/>
          </w:r>
          <w:r>
            <w:rPr>
              <w:rStyle w:val="35"/>
            </w:rPr>
            <w:t>6</w:t>
          </w:r>
          <w:r>
            <w:rPr>
              <w:rStyle w:val="35"/>
              <w:rFonts w:hint="eastAsia" w:ascii="Times New Roman"/>
            </w:rPr>
            <w:t xml:space="preserve"> 保障程序</w:t>
          </w:r>
          <w:r>
            <w:tab/>
          </w:r>
          <w:r>
            <w:fldChar w:fldCharType="begin"/>
          </w:r>
          <w:r>
            <w:instrText xml:space="preserve"> PAGEREF _Toc105509182 \h </w:instrText>
          </w:r>
          <w:r>
            <w:fldChar w:fldCharType="separate"/>
          </w:r>
          <w:r>
            <w:t>3</w:t>
          </w:r>
          <w:r>
            <w:fldChar w:fldCharType="end"/>
          </w:r>
          <w:r>
            <w:fldChar w:fldCharType="end"/>
          </w:r>
        </w:p>
        <w:p>
          <w:pPr>
            <w:pStyle w:val="22"/>
            <w:tabs>
              <w:tab w:val="right" w:leader="dot" w:pos="9344"/>
            </w:tabs>
            <w:rPr>
              <w:rFonts w:asciiTheme="minorHAnsi" w:hAnsiTheme="minorHAnsi" w:eastAsiaTheme="minorEastAsia" w:cstheme="minorBidi"/>
              <w:szCs w:val="22"/>
            </w:rPr>
          </w:pPr>
          <w:r>
            <w:fldChar w:fldCharType="begin"/>
          </w:r>
          <w:r>
            <w:instrText xml:space="preserve"> HYPERLINK \l "_Toc105509183" </w:instrText>
          </w:r>
          <w:r>
            <w:fldChar w:fldCharType="separate"/>
          </w:r>
          <w:r>
            <w:rPr>
              <w:rStyle w:val="35"/>
            </w:rPr>
            <w:t>7</w:t>
          </w:r>
          <w:r>
            <w:rPr>
              <w:rStyle w:val="35"/>
              <w:rFonts w:hint="eastAsia" w:ascii="Times New Roman"/>
            </w:rPr>
            <w:t xml:space="preserve"> 应急处置</w:t>
          </w:r>
          <w:r>
            <w:tab/>
          </w:r>
          <w:r>
            <w:fldChar w:fldCharType="begin"/>
          </w:r>
          <w:r>
            <w:instrText xml:space="preserve"> PAGEREF _Toc105509183 \h </w:instrText>
          </w:r>
          <w:r>
            <w:fldChar w:fldCharType="separate"/>
          </w:r>
          <w:r>
            <w:t>5</w:t>
          </w:r>
          <w:r>
            <w:fldChar w:fldCharType="end"/>
          </w:r>
          <w:r>
            <w:fldChar w:fldCharType="end"/>
          </w:r>
        </w:p>
        <w:p>
          <w:pPr>
            <w:pStyle w:val="22"/>
            <w:tabs>
              <w:tab w:val="right" w:leader="dot" w:pos="9344"/>
            </w:tabs>
            <w:rPr>
              <w:rFonts w:asciiTheme="minorHAnsi" w:hAnsiTheme="minorHAnsi" w:eastAsiaTheme="minorEastAsia" w:cstheme="minorBidi"/>
              <w:szCs w:val="22"/>
            </w:rPr>
          </w:pPr>
          <w:r>
            <w:fldChar w:fldCharType="begin"/>
          </w:r>
          <w:r>
            <w:instrText xml:space="preserve"> HYPERLINK \l "_Toc105509184" </w:instrText>
          </w:r>
          <w:r>
            <w:fldChar w:fldCharType="separate"/>
          </w:r>
          <w:r>
            <w:rPr>
              <w:rStyle w:val="35"/>
            </w:rPr>
            <w:t>8</w:t>
          </w:r>
          <w:r>
            <w:rPr>
              <w:rStyle w:val="35"/>
              <w:rFonts w:hint="eastAsia" w:ascii="Times New Roman"/>
            </w:rPr>
            <w:t xml:space="preserve"> 事后总结</w:t>
          </w:r>
          <w:r>
            <w:tab/>
          </w:r>
          <w:r>
            <w:fldChar w:fldCharType="begin"/>
          </w:r>
          <w:r>
            <w:instrText xml:space="preserve"> PAGEREF _Toc105509184 \h </w:instrText>
          </w:r>
          <w:r>
            <w:fldChar w:fldCharType="separate"/>
          </w:r>
          <w:r>
            <w:t>5</w:t>
          </w:r>
          <w:r>
            <w:fldChar w:fldCharType="end"/>
          </w:r>
          <w:r>
            <w:fldChar w:fldCharType="end"/>
          </w:r>
        </w:p>
        <w:p>
          <w:pPr>
            <w:pStyle w:val="22"/>
            <w:tabs>
              <w:tab w:val="right" w:leader="dot" w:pos="9344"/>
            </w:tabs>
            <w:rPr>
              <w:rFonts w:hAnsi="宋体" w:cs="宋体"/>
              <w:szCs w:val="22"/>
            </w:rPr>
          </w:pPr>
          <w:r>
            <w:fldChar w:fldCharType="begin"/>
          </w:r>
          <w:r>
            <w:instrText xml:space="preserve"> HYPERLINK \l "_Toc105509185" </w:instrText>
          </w:r>
          <w:r>
            <w:fldChar w:fldCharType="separate"/>
          </w:r>
          <w:r>
            <w:rPr>
              <w:rStyle w:val="35"/>
              <w:rFonts w:hint="eastAsia" w:hAnsi="宋体" w:cs="宋体"/>
              <w:kern w:val="0"/>
            </w:rPr>
            <w:t>附  录 A （资料性） 重大活动餐饮服务食品安全快速检测记录示例</w:t>
          </w:r>
          <w:r>
            <w:rPr>
              <w:rFonts w:hint="eastAsia" w:hAnsi="宋体" w:cs="宋体"/>
            </w:rPr>
            <w:tab/>
          </w:r>
          <w:r>
            <w:rPr>
              <w:rFonts w:hint="eastAsia" w:hAnsi="宋体" w:cs="宋体"/>
            </w:rPr>
            <w:fldChar w:fldCharType="begin"/>
          </w:r>
          <w:r>
            <w:rPr>
              <w:rFonts w:hint="eastAsia" w:hAnsi="宋体" w:cs="宋体"/>
            </w:rPr>
            <w:instrText xml:space="preserve"> PAGEREF _Toc105509185 \h </w:instrText>
          </w:r>
          <w:r>
            <w:rPr>
              <w:rFonts w:hint="eastAsia" w:hAnsi="宋体" w:cs="宋体"/>
            </w:rPr>
            <w:fldChar w:fldCharType="separate"/>
          </w:r>
          <w:r>
            <w:rPr>
              <w:rFonts w:hAnsi="宋体" w:cs="宋体"/>
            </w:rPr>
            <w:t>6</w:t>
          </w:r>
          <w:r>
            <w:rPr>
              <w:rFonts w:hint="eastAsia" w:hAnsi="宋体" w:cs="宋体"/>
            </w:rPr>
            <w:fldChar w:fldCharType="end"/>
          </w:r>
          <w:r>
            <w:rPr>
              <w:rFonts w:hint="eastAsia" w:hAnsi="宋体" w:cs="宋体"/>
            </w:rPr>
            <w:fldChar w:fldCharType="end"/>
          </w:r>
        </w:p>
        <w:p>
          <w:pPr>
            <w:pStyle w:val="22"/>
            <w:tabs>
              <w:tab w:val="right" w:leader="dot" w:pos="9344"/>
            </w:tabs>
            <w:rPr>
              <w:rFonts w:hAnsi="宋体" w:cs="宋体"/>
              <w:szCs w:val="22"/>
            </w:rPr>
          </w:pPr>
          <w:r>
            <w:fldChar w:fldCharType="begin"/>
          </w:r>
          <w:r>
            <w:instrText xml:space="preserve"> HYPERLINK \l "_Toc105509187" </w:instrText>
          </w:r>
          <w:r>
            <w:fldChar w:fldCharType="separate"/>
          </w:r>
          <w:r>
            <w:rPr>
              <w:rStyle w:val="35"/>
              <w:rFonts w:hint="eastAsia" w:hAnsi="宋体" w:cs="宋体"/>
              <w:kern w:val="0"/>
            </w:rPr>
            <w:t>附  录 B （规范性） 推荐性重大活动餐饮服务食品安全快速检测项目表</w:t>
          </w:r>
          <w:r>
            <w:rPr>
              <w:rFonts w:hint="eastAsia" w:hAnsi="宋体" w:cs="宋体"/>
            </w:rPr>
            <w:tab/>
          </w:r>
          <w:r>
            <w:rPr>
              <w:rFonts w:hint="eastAsia" w:hAnsi="宋体" w:cs="宋体"/>
            </w:rPr>
            <w:fldChar w:fldCharType="begin"/>
          </w:r>
          <w:r>
            <w:rPr>
              <w:rFonts w:hint="eastAsia" w:hAnsi="宋体" w:cs="宋体"/>
            </w:rPr>
            <w:instrText xml:space="preserve"> PAGEREF _Toc105509187 \h </w:instrText>
          </w:r>
          <w:r>
            <w:rPr>
              <w:rFonts w:hint="eastAsia" w:hAnsi="宋体" w:cs="宋体"/>
            </w:rPr>
            <w:fldChar w:fldCharType="separate"/>
          </w:r>
          <w:r>
            <w:rPr>
              <w:rFonts w:hAnsi="宋体" w:cs="宋体"/>
            </w:rPr>
            <w:t>7</w:t>
          </w:r>
          <w:r>
            <w:rPr>
              <w:rFonts w:hint="eastAsia" w:hAnsi="宋体" w:cs="宋体"/>
            </w:rPr>
            <w:fldChar w:fldCharType="end"/>
          </w:r>
          <w:r>
            <w:rPr>
              <w:rFonts w:hint="eastAsia" w:hAnsi="宋体" w:cs="宋体"/>
            </w:rPr>
            <w:fldChar w:fldCharType="end"/>
          </w:r>
        </w:p>
        <w:p>
          <w:pPr>
            <w:pStyle w:val="22"/>
            <w:tabs>
              <w:tab w:val="right" w:leader="dot" w:pos="9344"/>
            </w:tabs>
            <w:rPr>
              <w:rFonts w:hAnsi="宋体" w:cs="宋体"/>
              <w:szCs w:val="22"/>
            </w:rPr>
          </w:pPr>
          <w:r>
            <w:fldChar w:fldCharType="begin"/>
          </w:r>
          <w:r>
            <w:instrText xml:space="preserve"> HYPERLINK \l "_Toc105509189" </w:instrText>
          </w:r>
          <w:r>
            <w:fldChar w:fldCharType="separate"/>
          </w:r>
          <w:r>
            <w:rPr>
              <w:rStyle w:val="35"/>
              <w:rFonts w:hint="eastAsia" w:hAnsi="宋体" w:cs="宋体"/>
              <w:kern w:val="0"/>
            </w:rPr>
            <w:t>附  录 C （规范性） 重大活动餐饮服务食品安全监督记录表</w:t>
          </w:r>
          <w:r>
            <w:rPr>
              <w:rFonts w:hint="eastAsia" w:hAnsi="宋体" w:cs="宋体"/>
            </w:rPr>
            <w:tab/>
          </w:r>
          <w:r>
            <w:rPr>
              <w:rFonts w:hint="eastAsia" w:hAnsi="宋体" w:cs="宋体"/>
            </w:rPr>
            <w:fldChar w:fldCharType="begin"/>
          </w:r>
          <w:r>
            <w:rPr>
              <w:rFonts w:hint="eastAsia" w:hAnsi="宋体" w:cs="宋体"/>
            </w:rPr>
            <w:instrText xml:space="preserve"> PAGEREF _Toc105509189 \h </w:instrText>
          </w:r>
          <w:r>
            <w:rPr>
              <w:rFonts w:hint="eastAsia" w:hAnsi="宋体" w:cs="宋体"/>
            </w:rPr>
            <w:fldChar w:fldCharType="separate"/>
          </w:r>
          <w:r>
            <w:rPr>
              <w:rFonts w:hAnsi="宋体" w:cs="宋体"/>
            </w:rPr>
            <w:t>8</w:t>
          </w:r>
          <w:r>
            <w:rPr>
              <w:rFonts w:hint="eastAsia" w:hAnsi="宋体" w:cs="宋体"/>
            </w:rPr>
            <w:fldChar w:fldCharType="end"/>
          </w:r>
          <w:r>
            <w:rPr>
              <w:rFonts w:hint="eastAsia" w:hAnsi="宋体" w:cs="宋体"/>
            </w:rPr>
            <w:fldChar w:fldCharType="end"/>
          </w:r>
        </w:p>
        <w:p>
          <w:pPr>
            <w:pStyle w:val="22"/>
            <w:tabs>
              <w:tab w:val="right" w:leader="dot" w:pos="9344"/>
            </w:tabs>
            <w:rPr>
              <w:rFonts w:asciiTheme="minorHAnsi" w:hAnsiTheme="minorHAnsi" w:eastAsiaTheme="minorEastAsia" w:cstheme="minorBidi"/>
              <w:szCs w:val="22"/>
            </w:rPr>
          </w:pPr>
          <w:r>
            <w:fldChar w:fldCharType="begin"/>
          </w:r>
          <w:r>
            <w:instrText xml:space="preserve"> HYPERLINK \l "_Toc105509190" </w:instrText>
          </w:r>
          <w:r>
            <w:fldChar w:fldCharType="separate"/>
          </w:r>
          <w:r>
            <w:rPr>
              <w:rStyle w:val="35"/>
              <w:rFonts w:hint="eastAsia" w:hAnsi="宋体" w:cs="宋体"/>
              <w:kern w:val="0"/>
            </w:rPr>
            <w:t>附  录 D （规范性） 推荐性重大活动餐饮服务禁用食品清单</w:t>
          </w:r>
          <w:r>
            <w:rPr>
              <w:rFonts w:hint="eastAsia" w:hAnsi="宋体" w:cs="宋体"/>
            </w:rPr>
            <w:tab/>
          </w:r>
          <w:r>
            <w:rPr>
              <w:rFonts w:hint="eastAsia" w:hAnsi="宋体" w:cs="宋体"/>
            </w:rPr>
            <w:fldChar w:fldCharType="begin"/>
          </w:r>
          <w:r>
            <w:rPr>
              <w:rFonts w:hint="eastAsia" w:hAnsi="宋体" w:cs="宋体"/>
            </w:rPr>
            <w:instrText xml:space="preserve"> PAGEREF _Toc105509190 \h </w:instrText>
          </w:r>
          <w:r>
            <w:rPr>
              <w:rFonts w:hint="eastAsia" w:hAnsi="宋体" w:cs="宋体"/>
            </w:rPr>
            <w:fldChar w:fldCharType="separate"/>
          </w:r>
          <w:r>
            <w:rPr>
              <w:rFonts w:hAnsi="宋体" w:cs="宋体"/>
            </w:rPr>
            <w:t>10</w:t>
          </w:r>
          <w:r>
            <w:rPr>
              <w:rFonts w:hint="eastAsia" w:hAnsi="宋体" w:cs="宋体"/>
            </w:rPr>
            <w:fldChar w:fldCharType="end"/>
          </w:r>
          <w:r>
            <w:rPr>
              <w:rFonts w:hint="eastAsia" w:hAnsi="宋体" w:cs="宋体"/>
            </w:rPr>
            <w:fldChar w:fldCharType="end"/>
          </w:r>
        </w:p>
        <w:p>
          <w:r>
            <w:rPr>
              <w:b/>
              <w:bCs/>
              <w:lang w:val="zh-CN"/>
            </w:rPr>
            <w:fldChar w:fldCharType="end"/>
          </w:r>
        </w:p>
      </w:sdtContent>
    </w:sdt>
    <w:p>
      <w:pPr>
        <w:pStyle w:val="94"/>
        <w:spacing w:after="468"/>
        <w:jc w:val="both"/>
        <w:rPr>
          <w:rFonts w:ascii="Times New Roman" w:hAnsi="Times New Roman"/>
        </w:rPr>
        <w:sectPr>
          <w:pgSz w:w="11906" w:h="16838"/>
          <w:pgMar w:top="567" w:right="1134" w:bottom="1134" w:left="1134" w:header="1418" w:footer="1134" w:gutter="284"/>
          <w:pgNumType w:fmt="upperRoman"/>
          <w:cols w:space="425" w:num="1"/>
          <w:formProt w:val="0"/>
          <w:docGrid w:type="lines" w:linePitch="312" w:charSpace="0"/>
        </w:sectPr>
      </w:pPr>
    </w:p>
    <w:bookmarkEnd w:id="12"/>
    <w:p>
      <w:pPr>
        <w:pStyle w:val="92"/>
        <w:spacing w:after="468"/>
        <w:rPr>
          <w:rFonts w:ascii="Times New Roman"/>
        </w:rPr>
        <w:sectPr>
          <w:footerReference r:id="rId13" w:type="default"/>
          <w:footerReference r:id="rId14" w:type="even"/>
          <w:pgSz w:w="11907" w:h="16839"/>
          <w:pgMar w:top="1418" w:right="1134" w:bottom="1134" w:left="1418" w:header="1418" w:footer="851" w:gutter="0"/>
          <w:pgNumType w:fmt="upperRoman"/>
          <w:cols w:space="720" w:num="1"/>
          <w:docGrid w:type="lines" w:linePitch="312" w:charSpace="0"/>
        </w:sectPr>
      </w:pPr>
      <w:bookmarkStart w:id="13" w:name="_Toc81409533"/>
      <w:bookmarkStart w:id="14" w:name="_Toc24071"/>
      <w:bookmarkStart w:id="15" w:name="BookMark2"/>
    </w:p>
    <w:p>
      <w:pPr>
        <w:pStyle w:val="92"/>
        <w:numPr>
          <w:ilvl w:val="0"/>
          <w:numId w:val="0"/>
        </w:numPr>
        <w:spacing w:after="468"/>
        <w:rPr>
          <w:rFonts w:ascii="Times New Roman"/>
        </w:rPr>
      </w:pPr>
      <w:bookmarkStart w:id="16" w:name="_Toc105509168"/>
      <w:r>
        <w:rPr>
          <w:rFonts w:hint="eastAsia" w:ascii="Times New Roman"/>
          <w:spacing w:val="320"/>
        </w:rPr>
        <w:t>前</w:t>
      </w:r>
      <w:r>
        <w:rPr>
          <w:rFonts w:hint="eastAsia" w:ascii="Times New Roman"/>
        </w:rPr>
        <w:t>言</w:t>
      </w:r>
      <w:bookmarkEnd w:id="13"/>
      <w:bookmarkEnd w:id="14"/>
      <w:bookmarkEnd w:id="16"/>
    </w:p>
    <w:p>
      <w:pPr>
        <w:pStyle w:val="233"/>
        <w:rPr>
          <w:rFonts w:hAnsi="宋体" w:cs="宋体"/>
        </w:rPr>
      </w:pPr>
      <w:r>
        <w:rPr>
          <w:rFonts w:hint="eastAsia" w:hAnsi="宋体" w:cs="宋体"/>
        </w:rPr>
        <w:t>本文件按照GB/T 1.1—2020《标准化工作导则  第1部分：标准化文件的结构和起草规则》的规定起草。</w:t>
      </w:r>
    </w:p>
    <w:p>
      <w:pPr>
        <w:pStyle w:val="233"/>
        <w:rPr>
          <w:rFonts w:hAnsi="宋体" w:cs="宋体"/>
        </w:rPr>
      </w:pPr>
      <w:r>
        <w:rPr>
          <w:rFonts w:hint="eastAsia" w:hAnsi="宋体" w:cs="宋体"/>
        </w:rPr>
        <w:t>请注意本文件的某些内容可能涉及专利。本文件的发布机构不承担识别专利的责任。</w:t>
      </w:r>
    </w:p>
    <w:p>
      <w:pPr>
        <w:pStyle w:val="233"/>
        <w:rPr>
          <w:rFonts w:hAnsi="宋体" w:cs="宋体"/>
        </w:rPr>
      </w:pPr>
      <w:r>
        <w:rPr>
          <w:rFonts w:hint="eastAsia" w:hAnsi="宋体" w:cs="宋体"/>
        </w:rPr>
        <w:t>本文件由湖北省市场监督管理局提出并归口。</w:t>
      </w:r>
    </w:p>
    <w:p>
      <w:pPr>
        <w:pStyle w:val="233"/>
        <w:rPr>
          <w:rFonts w:hAnsi="宋体" w:cs="宋体"/>
        </w:rPr>
      </w:pPr>
      <w:r>
        <w:rPr>
          <w:rFonts w:hint="eastAsia" w:hAnsi="宋体" w:cs="宋体"/>
        </w:rPr>
        <w:t>本文件起草单位：湖北省食品质量安全监督检验研究院、湖北省标准化与质量研究院</w:t>
      </w:r>
      <w:r>
        <w:rPr>
          <w:rFonts w:hint="eastAsia" w:hAnsi="宋体" w:cs="宋体"/>
          <w:lang w:eastAsia="zh-CN"/>
        </w:rPr>
        <w:t>、黄石市食品药品检验检测中心</w:t>
      </w:r>
      <w:r>
        <w:rPr>
          <w:rFonts w:hint="eastAsia" w:hAnsi="宋体" w:cs="宋体"/>
        </w:rPr>
        <w:t>。</w:t>
      </w:r>
    </w:p>
    <w:p>
      <w:pPr>
        <w:pStyle w:val="233"/>
        <w:rPr>
          <w:rFonts w:hint="default" w:hAnsi="宋体" w:eastAsia="宋体" w:cs="宋体"/>
          <w:lang w:val="en-US" w:eastAsia="zh-CN"/>
        </w:rPr>
      </w:pPr>
      <w:r>
        <w:rPr>
          <w:rFonts w:hint="eastAsia" w:hAnsi="宋体" w:cs="宋体"/>
        </w:rPr>
        <w:t xml:space="preserve">本文件主要起草人： </w:t>
      </w:r>
      <w:r>
        <w:rPr>
          <w:rFonts w:hint="eastAsia" w:hAnsi="宋体" w:cs="宋体"/>
          <w:lang w:val="en-US" w:eastAsia="zh-CN"/>
        </w:rPr>
        <w:t>胡家勇、袁敏文、黄徽、朱必婷、何名扬、周陶鸿、郭青青、</w:t>
      </w:r>
      <w:bookmarkStart w:id="87" w:name="_GoBack"/>
      <w:bookmarkEnd w:id="87"/>
      <w:r>
        <w:rPr>
          <w:rFonts w:hint="eastAsia" w:hAnsi="宋体" w:cs="宋体"/>
          <w:lang w:val="en-US" w:eastAsia="zh-CN"/>
        </w:rPr>
        <w:t>朱影、黄宗骞、汪佳、邵璇</w:t>
      </w:r>
    </w:p>
    <w:p>
      <w:pPr>
        <w:pStyle w:val="233"/>
        <w:rPr>
          <w:rFonts w:hAnsi="宋体" w:cs="宋体"/>
        </w:rPr>
      </w:pPr>
      <w:r>
        <w:rPr>
          <w:rFonts w:hint="eastAsia" w:hAnsi="宋体" w:cs="宋体"/>
        </w:rPr>
        <w:t>本文件实施应用中的疑问，可咨询湖北省市场监督管理局，联系电话：027-87710317，邮箱：hbbzhc@163.com；对本文件的有关修改意见和建议请反馈至湖北省食品质量安全监督检验研究院，联系电话：027-87770996，邮箱：HBQT_SY@163.com。</w:t>
      </w:r>
    </w:p>
    <w:p>
      <w:pPr>
        <w:pStyle w:val="233"/>
        <w:rPr>
          <w:rFonts w:hAnsi="宋体" w:cs="宋体"/>
        </w:rPr>
        <w:sectPr>
          <w:pgSz w:w="11907" w:h="16839"/>
          <w:pgMar w:top="1418" w:right="1134" w:bottom="1134" w:left="1418" w:header="1418" w:footer="851" w:gutter="0"/>
          <w:pgNumType w:fmt="upperRoman"/>
          <w:cols w:space="720" w:num="1"/>
          <w:docGrid w:type="lines" w:linePitch="312" w:charSpace="0"/>
        </w:sectPr>
      </w:pPr>
    </w:p>
    <w:p>
      <w:pPr>
        <w:pStyle w:val="59"/>
        <w:ind w:firstLine="0" w:firstLineChars="0"/>
        <w:rPr>
          <w:rFonts w:ascii="Times New Roman"/>
        </w:rPr>
        <w:sectPr>
          <w:headerReference r:id="rId15" w:type="default"/>
          <w:footerReference r:id="rId17" w:type="default"/>
          <w:headerReference r:id="rId16" w:type="even"/>
          <w:footerReference r:id="rId18" w:type="even"/>
          <w:pgSz w:w="11906" w:h="16838"/>
          <w:pgMar w:top="567" w:right="1134" w:bottom="1134" w:left="1134" w:header="1418" w:footer="1134" w:gutter="284"/>
          <w:pgNumType w:fmt="upperRoman"/>
          <w:cols w:space="425" w:num="1"/>
          <w:formProt w:val="0"/>
          <w:docGrid w:type="lines" w:linePitch="312" w:charSpace="0"/>
        </w:sectPr>
      </w:pPr>
    </w:p>
    <w:bookmarkEnd w:id="15"/>
    <w:p>
      <w:pPr>
        <w:spacing w:line="20" w:lineRule="exact"/>
        <w:jc w:val="center"/>
        <w:rPr>
          <w:rFonts w:ascii="Times New Roman" w:hAnsi="Times New Roman" w:eastAsia="黑体"/>
          <w:sz w:val="32"/>
          <w:szCs w:val="32"/>
        </w:rPr>
      </w:pPr>
      <w:bookmarkStart w:id="17" w:name="BookMark4"/>
    </w:p>
    <w:p>
      <w:pPr>
        <w:spacing w:line="20" w:lineRule="exact"/>
        <w:jc w:val="center"/>
        <w:rPr>
          <w:rFonts w:ascii="Times New Roman" w:hAnsi="Times New Roman" w:eastAsia="黑体"/>
          <w:sz w:val="32"/>
          <w:szCs w:val="32"/>
        </w:rPr>
      </w:pPr>
    </w:p>
    <w:sdt>
      <w:sdtPr>
        <w:rPr>
          <w:rFonts w:ascii="Times New Roman" w:hAnsi="Times New Roman"/>
        </w:rPr>
        <w:tag w:val="NEW_STAND_NAME"/>
        <w:id w:val="595910757"/>
        <w:lock w:val="sdtLocked"/>
      </w:sdtPr>
      <w:sdtEndPr>
        <w:rPr>
          <w:rFonts w:hint="eastAsia" w:ascii="黑体" w:hAnsi="黑体" w:cs="黑体"/>
        </w:rPr>
      </w:sdtEndPr>
      <w:sdtContent>
        <w:p>
          <w:pPr>
            <w:pStyle w:val="180"/>
            <w:spacing w:before="567" w:beforeLines="182" w:after="686" w:afterLines="220"/>
          </w:pPr>
          <w:bookmarkStart w:id="18" w:name="NEW_STAND_NAME"/>
          <w:r>
            <w:rPr>
              <w:rFonts w:hint="eastAsia" w:cs="黑体"/>
            </w:rPr>
            <w:t>重大活动餐饮服务食品安全保障</w:t>
          </w:r>
          <w:bookmarkEnd w:id="17"/>
          <w:bookmarkEnd w:id="18"/>
          <w:bookmarkStart w:id="19" w:name="BookMark5"/>
          <w:r>
            <w:rPr>
              <w:rFonts w:hint="eastAsia" w:cs="黑体"/>
            </w:rPr>
            <w:t>操作规范</w:t>
          </w:r>
        </w:p>
      </w:sdtContent>
    </w:sdt>
    <w:p>
      <w:pPr>
        <w:pStyle w:val="202"/>
        <w:rPr>
          <w:rFonts w:ascii="Times New Roman"/>
          <w:vanish w:val="0"/>
        </w:rPr>
      </w:pPr>
    </w:p>
    <w:bookmarkEnd w:id="19"/>
    <w:p>
      <w:pPr>
        <w:pStyle w:val="107"/>
        <w:numPr>
          <w:ilvl w:val="1"/>
          <w:numId w:val="34"/>
        </w:numPr>
        <w:spacing w:before="312" w:after="312"/>
        <w:rPr>
          <w:rFonts w:ascii="Times New Roman"/>
        </w:rPr>
      </w:pPr>
      <w:bookmarkStart w:id="20" w:name="_Toc81409534"/>
      <w:bookmarkStart w:id="21" w:name="_Toc105509169"/>
      <w:bookmarkStart w:id="22" w:name="_Toc32602"/>
      <w:bookmarkStart w:id="23" w:name="BookMark8"/>
      <w:r>
        <w:rPr>
          <w:rFonts w:hint="eastAsia" w:ascii="Times New Roman"/>
        </w:rPr>
        <w:t>范围</w:t>
      </w:r>
      <w:bookmarkEnd w:id="20"/>
      <w:bookmarkEnd w:id="21"/>
      <w:bookmarkEnd w:id="22"/>
    </w:p>
    <w:p>
      <w:pPr>
        <w:spacing w:line="240" w:lineRule="auto"/>
        <w:ind w:firstLine="420" w:firstLineChars="200"/>
        <w:rPr>
          <w:rFonts w:ascii="Times New Roman" w:hAnsi="Times New Roman"/>
        </w:rPr>
      </w:pPr>
      <w:r>
        <w:rPr>
          <w:rFonts w:hint="eastAsia" w:ascii="Times New Roman" w:hAnsi="Times New Roman"/>
        </w:rPr>
        <w:t>本文件规定了重大活动餐饮服务食品安全职责、监督程序和内容。</w:t>
      </w:r>
    </w:p>
    <w:p>
      <w:pPr>
        <w:spacing w:line="240" w:lineRule="auto"/>
        <w:ind w:firstLine="420" w:firstLineChars="200"/>
        <w:rPr>
          <w:rFonts w:ascii="Times New Roman" w:hAnsi="Times New Roman"/>
        </w:rPr>
      </w:pPr>
      <w:r>
        <w:rPr>
          <w:rFonts w:hint="eastAsia" w:ascii="Times New Roman" w:hAnsi="Times New Roman"/>
        </w:rPr>
        <w:t>本文件适用于重大活动时餐饮服务的食品安全监督与管理。</w:t>
      </w:r>
    </w:p>
    <w:p>
      <w:pPr>
        <w:spacing w:line="240" w:lineRule="auto"/>
        <w:ind w:firstLine="420" w:firstLineChars="200"/>
        <w:rPr>
          <w:rFonts w:ascii="Times New Roman" w:hAnsi="Times New Roman"/>
        </w:rPr>
      </w:pPr>
      <w:r>
        <w:rPr>
          <w:rFonts w:hint="eastAsia" w:ascii="Times New Roman" w:hAnsi="Times New Roman"/>
        </w:rPr>
        <w:t>本文件不适用于重大活动期间在全户外或临时搭建场所从事的餐饮服务活动。</w:t>
      </w:r>
    </w:p>
    <w:p>
      <w:pPr>
        <w:pStyle w:val="107"/>
        <w:spacing w:before="312" w:after="312"/>
        <w:rPr>
          <w:rFonts w:ascii="Times New Roman"/>
        </w:rPr>
      </w:pPr>
      <w:bookmarkStart w:id="24" w:name="_Toc13781"/>
      <w:bookmarkStart w:id="25" w:name="_Toc75795932"/>
      <w:bookmarkStart w:id="26" w:name="_Toc8510"/>
      <w:bookmarkStart w:id="27" w:name="_Toc105509170"/>
      <w:bookmarkStart w:id="28" w:name="_Toc81409535"/>
      <w:r>
        <w:rPr>
          <w:rFonts w:hint="eastAsia" w:ascii="Times New Roman"/>
        </w:rPr>
        <w:t>规范性引用文件</w:t>
      </w:r>
      <w:bookmarkEnd w:id="24"/>
      <w:bookmarkEnd w:id="25"/>
      <w:bookmarkEnd w:id="26"/>
      <w:bookmarkEnd w:id="27"/>
      <w:bookmarkEnd w:id="28"/>
    </w:p>
    <w:sdt>
      <w:sdtPr>
        <w:rPr>
          <w:rFonts w:hint="eastAsia" w:ascii="Times New Roman"/>
        </w:rPr>
        <w:id w:val="715848253"/>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ascii="Times New Roman"/>
        </w:rPr>
      </w:sdtEndPr>
      <w:sdtContent>
        <w:p>
          <w:pPr>
            <w:pStyle w:val="233"/>
            <w:rPr>
              <w:rFonts w:ascii="Times New Roman"/>
            </w:rPr>
          </w:pPr>
          <w:r>
            <w:rPr>
              <w:rFonts w:hint="eastAsia"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spacing w:line="240" w:lineRule="auto"/>
        <w:ind w:firstLine="420" w:firstLineChars="200"/>
        <w:rPr>
          <w:rFonts w:ascii="Times New Roman" w:hAnsi="Times New Roman"/>
        </w:rPr>
      </w:pPr>
      <w:r>
        <w:rPr>
          <w:rFonts w:hint="eastAsia" w:ascii="Times New Roman" w:hAnsi="Times New Roman"/>
        </w:rPr>
        <w:t>中华人民共和国食品安全法</w:t>
      </w:r>
    </w:p>
    <w:p>
      <w:pPr>
        <w:spacing w:line="240" w:lineRule="auto"/>
        <w:ind w:firstLine="420" w:firstLineChars="200"/>
        <w:rPr>
          <w:rFonts w:ascii="Times New Roman" w:hAnsi="Times New Roman"/>
        </w:rPr>
      </w:pPr>
      <w:r>
        <w:rPr>
          <w:rFonts w:hint="eastAsia" w:ascii="Times New Roman" w:hAnsi="Times New Roman"/>
        </w:rPr>
        <w:t>餐饮服务食品安全监督管理办法</w:t>
      </w:r>
    </w:p>
    <w:p>
      <w:pPr>
        <w:spacing w:line="240" w:lineRule="auto"/>
        <w:ind w:firstLine="420" w:firstLineChars="200"/>
        <w:rPr>
          <w:rFonts w:hint="eastAsia" w:ascii="Times New Roman" w:hAnsi="Times New Roman"/>
        </w:rPr>
      </w:pPr>
      <w:r>
        <w:rPr>
          <w:rFonts w:hint="eastAsia" w:ascii="Times New Roman" w:hAnsi="Times New Roman"/>
        </w:rPr>
        <w:t>重大活动餐饮服务食品安全监督管理规范</w:t>
      </w:r>
    </w:p>
    <w:p>
      <w:pPr>
        <w:spacing w:line="240" w:lineRule="auto"/>
        <w:ind w:firstLine="400" w:firstLineChars="200"/>
        <w:rPr>
          <w:rFonts w:hint="eastAsia" w:ascii="Times New Roman" w:hAnsi="Times New Roman"/>
        </w:rPr>
      </w:pPr>
      <w:r>
        <w:rPr>
          <w:rFonts w:hint="eastAsia" w:ascii="宋体" w:hAnsi="宋体" w:eastAsia="宋体" w:cs="宋体"/>
          <w:kern w:val="0"/>
          <w:sz w:val="20"/>
          <w:szCs w:val="20"/>
        </w:rPr>
        <w:t>GB 31654食品安全国家标准餐饮服务通用卫生规范</w:t>
      </w:r>
    </w:p>
    <w:p>
      <w:pPr>
        <w:pStyle w:val="107"/>
        <w:spacing w:before="312" w:after="312"/>
        <w:rPr>
          <w:rFonts w:ascii="Times New Roman"/>
          <w:szCs w:val="21"/>
        </w:rPr>
      </w:pPr>
      <w:bookmarkStart w:id="29" w:name="_Toc81409536"/>
      <w:bookmarkEnd w:id="29"/>
      <w:bookmarkStart w:id="30" w:name="_Toc116984225"/>
      <w:bookmarkStart w:id="31" w:name="_Toc81409537"/>
      <w:bookmarkStart w:id="32" w:name="_Toc8682"/>
      <w:bookmarkStart w:id="33" w:name="_Toc105509171"/>
      <w:bookmarkStart w:id="34" w:name="_Toc75795933"/>
      <w:bookmarkStart w:id="35" w:name="_Toc31498"/>
      <w:r>
        <w:rPr>
          <w:rFonts w:hint="eastAsia" w:ascii="Times New Roman"/>
          <w:szCs w:val="21"/>
        </w:rPr>
        <w:t>术语和定义</w:t>
      </w:r>
      <w:bookmarkEnd w:id="30"/>
      <w:bookmarkEnd w:id="31"/>
      <w:bookmarkEnd w:id="32"/>
      <w:bookmarkEnd w:id="33"/>
      <w:bookmarkEnd w:id="34"/>
      <w:bookmarkEnd w:id="35"/>
    </w:p>
    <w:p>
      <w:pPr>
        <w:pStyle w:val="18"/>
        <w:spacing w:line="240" w:lineRule="auto"/>
        <w:ind w:firstLine="420"/>
        <w:rPr>
          <w:rFonts w:ascii="Times New Roman" w:hAnsi="Times New Roman"/>
          <w:sz w:val="21"/>
        </w:rPr>
      </w:pPr>
      <w:r>
        <w:rPr>
          <w:rFonts w:hint="eastAsia" w:ascii="Times New Roman" w:hAnsi="Times New Roman"/>
          <w:sz w:val="21"/>
        </w:rPr>
        <w:t>下列术语和定义适用于本文件。</w:t>
      </w:r>
    </w:p>
    <w:p>
      <w:pPr>
        <w:pStyle w:val="236"/>
        <w:numPr>
          <w:ilvl w:val="0"/>
          <w:numId w:val="0"/>
        </w:numPr>
        <w:spacing w:before="312" w:after="312"/>
        <w:rPr>
          <w:rFonts w:hAnsi="黑体" w:cs="黑体"/>
        </w:rPr>
      </w:pPr>
      <w:bookmarkStart w:id="36" w:name="_Toc81409538"/>
      <w:bookmarkStart w:id="37" w:name="_Toc105509172"/>
      <w:bookmarkStart w:id="38" w:name="_Toc15355"/>
      <w:bookmarkStart w:id="39" w:name="_Toc75795391"/>
      <w:bookmarkStart w:id="40" w:name="_Toc75795934"/>
      <w:r>
        <w:rPr>
          <w:rFonts w:hint="eastAsia" w:hAnsi="黑体" w:cs="黑体"/>
        </w:rPr>
        <w:t>3.1</w:t>
      </w:r>
      <w:bookmarkEnd w:id="36"/>
      <w:bookmarkEnd w:id="37"/>
      <w:r>
        <w:rPr>
          <w:rFonts w:hint="eastAsia" w:hAnsi="黑体" w:cs="黑体"/>
        </w:rPr>
        <w:t xml:space="preserve">  </w:t>
      </w:r>
    </w:p>
    <w:bookmarkEnd w:id="38"/>
    <w:bookmarkEnd w:id="39"/>
    <w:bookmarkEnd w:id="40"/>
    <w:p>
      <w:pPr>
        <w:spacing w:line="240" w:lineRule="auto"/>
        <w:ind w:firstLine="420" w:firstLineChars="200"/>
        <w:rPr>
          <w:rFonts w:ascii="Times New Roman" w:hAnsi="Times New Roman"/>
        </w:rPr>
      </w:pPr>
      <w:bookmarkStart w:id="41" w:name="_Toc81409539"/>
      <w:r>
        <w:rPr>
          <w:rFonts w:hint="eastAsia" w:ascii="黑体" w:hAnsi="黑体" w:eastAsia="黑体" w:cs="黑体"/>
        </w:rPr>
        <w:t xml:space="preserve">重大活动 </w:t>
      </w:r>
      <w:bookmarkEnd w:id="41"/>
      <w:r>
        <w:rPr>
          <w:rFonts w:hint="eastAsia" w:ascii="黑体" w:hAnsi="黑体" w:eastAsia="黑体" w:cs="黑体"/>
        </w:rPr>
        <w:t xml:space="preserve">Major Event </w:t>
      </w:r>
      <w:r>
        <w:rPr>
          <w:rFonts w:ascii="Times New Roman" w:hAnsi="Times New Roman"/>
        </w:rPr>
        <w:t xml:space="preserve"> </w:t>
      </w:r>
    </w:p>
    <w:p>
      <w:pPr>
        <w:spacing w:line="240" w:lineRule="auto"/>
        <w:ind w:firstLine="420" w:firstLineChars="200"/>
        <w:rPr>
          <w:rFonts w:ascii="Times New Roman" w:hAnsi="Times New Roman"/>
        </w:rPr>
      </w:pPr>
      <w:r>
        <w:rPr>
          <w:rFonts w:hint="eastAsia" w:ascii="Times New Roman" w:hAnsi="Times New Roman"/>
        </w:rPr>
        <w:t>是指各级政府确定的具有特定规模和影响的政治、经济、文化、体育等活动。</w:t>
      </w:r>
    </w:p>
    <w:p>
      <w:pPr>
        <w:pStyle w:val="236"/>
        <w:numPr>
          <w:ilvl w:val="0"/>
          <w:numId w:val="0"/>
        </w:numPr>
        <w:spacing w:before="312" w:after="312"/>
        <w:rPr>
          <w:rFonts w:hAnsi="黑体" w:cs="黑体"/>
        </w:rPr>
      </w:pPr>
      <w:bookmarkStart w:id="42" w:name="_Toc105509173"/>
      <w:bookmarkStart w:id="43" w:name="_Toc81409540"/>
      <w:bookmarkStart w:id="44" w:name="_Toc25322"/>
      <w:bookmarkStart w:id="45" w:name="_Toc75795935"/>
      <w:bookmarkStart w:id="46" w:name="_Toc75795392"/>
      <w:r>
        <w:rPr>
          <w:rFonts w:hint="eastAsia" w:hAnsi="黑体" w:cs="黑体"/>
        </w:rPr>
        <w:t>3.2</w:t>
      </w:r>
      <w:bookmarkEnd w:id="42"/>
      <w:bookmarkEnd w:id="43"/>
      <w:r>
        <w:rPr>
          <w:rFonts w:hint="eastAsia" w:hAnsi="黑体" w:cs="黑体"/>
        </w:rPr>
        <w:t xml:space="preserve">  </w:t>
      </w:r>
    </w:p>
    <w:bookmarkEnd w:id="44"/>
    <w:bookmarkEnd w:id="45"/>
    <w:bookmarkEnd w:id="46"/>
    <w:p>
      <w:pPr>
        <w:pStyle w:val="236"/>
        <w:numPr>
          <w:ilvl w:val="0"/>
          <w:numId w:val="0"/>
        </w:numPr>
        <w:spacing w:beforeLines="0" w:afterLines="0"/>
        <w:ind w:firstLine="420" w:firstLineChars="200"/>
        <w:rPr>
          <w:rFonts w:hAnsi="黑体" w:cs="黑体"/>
        </w:rPr>
      </w:pPr>
      <w:bookmarkStart w:id="47" w:name="_Toc105509174"/>
      <w:bookmarkStart w:id="48" w:name="_Toc81409541"/>
      <w:r>
        <w:rPr>
          <w:rFonts w:hint="eastAsia" w:hAnsi="黑体" w:cs="黑体"/>
        </w:rPr>
        <w:t xml:space="preserve">主办单位 </w:t>
      </w:r>
      <w:bookmarkEnd w:id="47"/>
      <w:r>
        <w:rPr>
          <w:rFonts w:hint="eastAsia" w:hAnsi="黑体" w:cs="黑体"/>
        </w:rPr>
        <w:t xml:space="preserve">major event sponsor </w:t>
      </w:r>
      <w:bookmarkEnd w:id="48"/>
    </w:p>
    <w:p>
      <w:pPr>
        <w:pStyle w:val="18"/>
        <w:spacing w:line="240" w:lineRule="auto"/>
        <w:ind w:firstLine="420"/>
        <w:rPr>
          <w:rFonts w:ascii="Times New Roman" w:hAnsi="Times New Roman"/>
          <w:sz w:val="21"/>
        </w:rPr>
      </w:pPr>
      <w:r>
        <w:rPr>
          <w:rFonts w:hint="eastAsia" w:ascii="Times New Roman" w:hAnsi="Times New Roman"/>
          <w:sz w:val="21"/>
        </w:rPr>
        <w:t>指重大活动的组织</w:t>
      </w:r>
      <w:r>
        <w:rPr>
          <w:rFonts w:hint="eastAsia" w:ascii="Times New Roman" w:hAnsi="Times New Roman"/>
          <w:sz w:val="21"/>
          <w:lang w:eastAsia="zh-CN"/>
        </w:rPr>
        <w:t>单位或发起单位</w:t>
      </w:r>
      <w:r>
        <w:rPr>
          <w:rFonts w:hint="eastAsia" w:ascii="Times New Roman" w:hAnsi="Times New Roman"/>
          <w:sz w:val="21"/>
        </w:rPr>
        <w:t>。</w:t>
      </w:r>
    </w:p>
    <w:p>
      <w:pPr>
        <w:pStyle w:val="236"/>
        <w:numPr>
          <w:ilvl w:val="0"/>
          <w:numId w:val="0"/>
        </w:numPr>
        <w:spacing w:before="312" w:after="312"/>
        <w:rPr>
          <w:rFonts w:hAnsi="黑体" w:cs="黑体"/>
        </w:rPr>
      </w:pPr>
      <w:bookmarkStart w:id="49" w:name="_Toc105509175"/>
      <w:r>
        <w:rPr>
          <w:rFonts w:hint="eastAsia" w:hAnsi="黑体" w:cs="黑体"/>
        </w:rPr>
        <w:t>3.</w:t>
      </w:r>
      <w:bookmarkEnd w:id="49"/>
      <w:r>
        <w:rPr>
          <w:rFonts w:hint="eastAsia" w:hAnsi="黑体" w:cs="黑体"/>
          <w:lang w:val="en-US" w:eastAsia="zh-CN"/>
        </w:rPr>
        <w:t>3</w:t>
      </w:r>
      <w:r>
        <w:rPr>
          <w:rFonts w:hint="eastAsia" w:hAnsi="黑体" w:cs="黑体"/>
        </w:rPr>
        <w:t xml:space="preserve">  </w:t>
      </w:r>
    </w:p>
    <w:p>
      <w:pPr>
        <w:pStyle w:val="236"/>
        <w:numPr>
          <w:ilvl w:val="0"/>
          <w:numId w:val="0"/>
        </w:numPr>
        <w:spacing w:beforeLines="0" w:afterLines="0"/>
        <w:ind w:firstLine="420" w:firstLineChars="200"/>
        <w:rPr>
          <w:rFonts w:hAnsi="黑体" w:cs="黑体"/>
        </w:rPr>
      </w:pPr>
      <w:bookmarkStart w:id="50" w:name="_Toc105509176"/>
      <w:r>
        <w:rPr>
          <w:rFonts w:hint="eastAsia" w:hAnsi="黑体" w:cs="黑体"/>
        </w:rPr>
        <w:t xml:space="preserve">餐饮服务提供者 </w:t>
      </w:r>
      <w:bookmarkEnd w:id="50"/>
      <w:r>
        <w:rPr>
          <w:rFonts w:hint="eastAsia" w:hAnsi="黑体" w:cs="黑体"/>
          <w:lang w:val="en-US" w:eastAsia="zh-CN"/>
        </w:rPr>
        <w:t>C</w:t>
      </w:r>
      <w:r>
        <w:rPr>
          <w:rFonts w:hint="eastAsia" w:hAnsi="黑体" w:cs="黑体"/>
        </w:rPr>
        <w:t xml:space="preserve">atering service provider </w:t>
      </w:r>
    </w:p>
    <w:p>
      <w:pPr>
        <w:pStyle w:val="18"/>
        <w:spacing w:line="240" w:lineRule="auto"/>
        <w:ind w:firstLine="420"/>
        <w:rPr>
          <w:rFonts w:ascii="Times New Roman" w:hAnsi="Times New Roman"/>
          <w:sz w:val="21"/>
        </w:rPr>
      </w:pPr>
      <w:r>
        <w:rPr>
          <w:rFonts w:hint="eastAsia" w:ascii="Times New Roman" w:hAnsi="Times New Roman"/>
          <w:sz w:val="21"/>
        </w:rPr>
        <w:t>指</w:t>
      </w:r>
      <w:r>
        <w:rPr>
          <w:rFonts w:hint="eastAsia" w:ascii="Times New Roman" w:hAnsi="Times New Roman"/>
          <w:sz w:val="21"/>
          <w:lang w:eastAsia="zh-CN"/>
        </w:rPr>
        <w:t>为</w:t>
      </w:r>
      <w:r>
        <w:rPr>
          <w:rFonts w:hint="eastAsia" w:ascii="Times New Roman" w:hAnsi="Times New Roman"/>
          <w:sz w:val="21"/>
        </w:rPr>
        <w:t>重大活动参与人员提供食品、用餐场所及设施的餐饮从业单位，包括涉及重大活动的人员食宿、重要宴请和集体用餐配送等的单位。</w:t>
      </w:r>
    </w:p>
    <w:p>
      <w:pPr>
        <w:pStyle w:val="107"/>
        <w:spacing w:before="312" w:after="312"/>
        <w:rPr>
          <w:rFonts w:ascii="Times New Roman"/>
          <w:szCs w:val="21"/>
        </w:rPr>
      </w:pPr>
      <w:bookmarkStart w:id="51" w:name="_Toc105509177"/>
      <w:bookmarkStart w:id="52" w:name="_Toc116984226"/>
      <w:r>
        <w:rPr>
          <w:rFonts w:hint="eastAsia" w:ascii="Times New Roman"/>
          <w:szCs w:val="21"/>
        </w:rPr>
        <w:t>保障分级</w:t>
      </w:r>
      <w:bookmarkEnd w:id="51"/>
    </w:p>
    <w:p>
      <w:pPr>
        <w:spacing w:line="240" w:lineRule="auto"/>
        <w:rPr>
          <w:rFonts w:hint="eastAsia" w:ascii="Times New Roman" w:hAnsi="Times New Roman" w:eastAsia="宋体" w:cs="Times New Roman"/>
          <w:kern w:val="2"/>
          <w:sz w:val="21"/>
          <w:szCs w:val="21"/>
          <w:lang w:val="en-US" w:eastAsia="zh-CN" w:bidi="ar-SA"/>
        </w:rPr>
      </w:pPr>
      <w:r>
        <w:rPr>
          <w:rFonts w:ascii="Times New Roman" w:hAnsi="Times New Roman"/>
        </w:rPr>
        <w:t xml:space="preserve">  </w:t>
      </w:r>
      <w:r>
        <w:rPr>
          <w:rFonts w:hint="eastAsia" w:ascii="Times New Roman" w:hAnsi="Times New Roman"/>
        </w:rPr>
        <w:t xml:space="preserve">  </w:t>
      </w:r>
      <w:r>
        <w:rPr>
          <w:rFonts w:hint="eastAsia" w:ascii="Times New Roman" w:hAnsi="Times New Roman" w:eastAsia="宋体" w:cs="Times New Roman"/>
          <w:kern w:val="2"/>
          <w:sz w:val="21"/>
          <w:szCs w:val="21"/>
          <w:lang w:val="en-US" w:eastAsia="zh-CN" w:bidi="ar-SA"/>
        </w:rPr>
        <w:t>重大活动餐饮服务食品安全监督管理分为全程监督和重点监督两种监管方式，餐饮服务食品安全监管部门可根据重大活动的性质、规模、供餐模式等因素，确定相应监管方式。</w:t>
      </w:r>
    </w:p>
    <w:p>
      <w:pPr>
        <w:spacing w:line="240" w:lineRule="auto"/>
        <w:ind w:firstLine="420" w:firstLineChars="200"/>
        <w:rPr>
          <w:rFonts w:ascii="Times New Roman" w:hAnsi="Times New Roman"/>
        </w:rPr>
      </w:pPr>
      <w:r>
        <w:rPr>
          <w:rFonts w:hint="eastAsia" w:ascii="Times New Roman" w:hAnsi="Times New Roman"/>
        </w:rPr>
        <w:t>根据重大活动餐饮服务食品安全监督管理工作的性质和规模，将重大活动餐饮服务食品安全监督保障分为三级：</w:t>
      </w:r>
    </w:p>
    <w:p>
      <w:pPr>
        <w:spacing w:line="240" w:lineRule="auto"/>
        <w:rPr>
          <w:rFonts w:ascii="宋体" w:hAnsi="宋体" w:cs="宋体"/>
        </w:rPr>
      </w:pPr>
      <w:r>
        <w:rPr>
          <w:rFonts w:hint="eastAsia" w:ascii="宋体" w:hAnsi="宋体" w:cs="宋体"/>
        </w:rPr>
        <w:t>a）一级：在本省举办的国际性和全国性政治、经济、文化、体育等重大活动（会议）期间及党和国家领导人、外国元首和贵宾在我省活动期间，要求提供的餐饮服务食品安全监督保障；</w:t>
      </w:r>
    </w:p>
    <w:p>
      <w:pPr>
        <w:spacing w:line="240" w:lineRule="auto"/>
        <w:rPr>
          <w:rFonts w:ascii="宋体" w:hAnsi="宋体" w:cs="宋体"/>
        </w:rPr>
      </w:pPr>
      <w:r>
        <w:rPr>
          <w:rFonts w:hint="eastAsia" w:ascii="宋体" w:hAnsi="宋体" w:cs="宋体"/>
        </w:rPr>
        <w:t>b）二级：中央国家机关各部委、省级党政机关在省内举办的重要的政治、经济、文化、体育等活动（会议）期间，要求提供的餐饮服务食品安全监督保障；</w:t>
      </w:r>
    </w:p>
    <w:p>
      <w:pPr>
        <w:spacing w:line="240" w:lineRule="auto"/>
        <w:rPr>
          <w:rFonts w:ascii="Times New Roman" w:hAnsi="Times New Roman"/>
        </w:rPr>
      </w:pPr>
      <w:r>
        <w:rPr>
          <w:rFonts w:hint="eastAsia" w:ascii="宋体" w:hAnsi="宋体" w:cs="宋体"/>
        </w:rPr>
        <w:t>c）三级：各市州、县（市、区）级党政机关举办的重要的政治、经济、文化、体育等活动（会议）期间，</w:t>
      </w:r>
      <w:r>
        <w:rPr>
          <w:rFonts w:hint="eastAsia" w:ascii="Times New Roman" w:hAnsi="Times New Roman"/>
        </w:rPr>
        <w:t>要求提供的餐饮服务食品安全监督保障。</w:t>
      </w:r>
    </w:p>
    <w:p>
      <w:pPr>
        <w:spacing w:line="240" w:lineRule="auto"/>
        <w:ind w:firstLine="420" w:firstLineChars="200"/>
        <w:rPr>
          <w:rFonts w:ascii="Times New Roman" w:hAnsi="Times New Roman"/>
        </w:rPr>
      </w:pPr>
      <w:r>
        <w:rPr>
          <w:rFonts w:hint="eastAsia" w:ascii="Times New Roman" w:hAnsi="Times New Roman"/>
        </w:rPr>
        <w:t>按照分级保障要求，一级保障原则上由省市场监督管理部门组织协调实施，上级单位统一安排的，按其安排实施；二级保障由省级市场监督管理部门指导协调，市州、直管市、林区市场监督管理部门负责组织实施；三级保障由市州级市场监督管理部门指导协调，县（市、区）级市场监督管理部门负责组织实施。</w:t>
      </w:r>
    </w:p>
    <w:p>
      <w:pPr>
        <w:pStyle w:val="107"/>
        <w:spacing w:before="312" w:after="312"/>
        <w:rPr>
          <w:rFonts w:ascii="Times New Roman"/>
          <w:szCs w:val="21"/>
        </w:rPr>
      </w:pPr>
      <w:bookmarkStart w:id="53" w:name="_Toc105509178"/>
      <w:r>
        <w:rPr>
          <w:rFonts w:hint="eastAsia" w:ascii="Times New Roman"/>
          <w:szCs w:val="21"/>
        </w:rPr>
        <w:t>职责分工</w:t>
      </w:r>
      <w:bookmarkEnd w:id="53"/>
    </w:p>
    <w:p>
      <w:pPr>
        <w:pStyle w:val="236"/>
        <w:numPr>
          <w:ilvl w:val="0"/>
          <w:numId w:val="0"/>
        </w:numPr>
        <w:spacing w:before="312" w:after="312"/>
        <w:rPr>
          <w:rFonts w:hAnsi="黑体" w:cs="黑体"/>
        </w:rPr>
      </w:pPr>
      <w:bookmarkStart w:id="54" w:name="_Toc75795937"/>
      <w:bookmarkStart w:id="55" w:name="_Toc20799"/>
      <w:bookmarkStart w:id="56" w:name="_Toc81409543"/>
      <w:bookmarkStart w:id="57" w:name="_Toc75795393"/>
      <w:bookmarkStart w:id="58" w:name="_Toc105509179"/>
      <w:r>
        <w:rPr>
          <w:rFonts w:hint="eastAsia" w:hAnsi="黑体" w:cs="黑体"/>
        </w:rPr>
        <w:t xml:space="preserve">5.1 </w:t>
      </w:r>
      <w:bookmarkEnd w:id="52"/>
      <w:bookmarkEnd w:id="54"/>
      <w:bookmarkEnd w:id="55"/>
      <w:bookmarkEnd w:id="56"/>
      <w:bookmarkEnd w:id="57"/>
      <w:r>
        <w:rPr>
          <w:rFonts w:hint="eastAsia" w:hAnsi="黑体" w:cs="黑体"/>
        </w:rPr>
        <w:t>主办单位</w:t>
      </w:r>
      <w:bookmarkEnd w:id="58"/>
    </w:p>
    <w:p>
      <w:pPr>
        <w:spacing w:line="240" w:lineRule="auto"/>
        <w:rPr>
          <w:rFonts w:hint="eastAsia" w:ascii="Times New Roman" w:hAnsi="Times New Roman" w:eastAsia="宋体"/>
          <w:lang w:eastAsia="zh-CN"/>
        </w:rPr>
      </w:pPr>
      <w:r>
        <w:rPr>
          <w:rFonts w:hint="eastAsia" w:ascii="黑体" w:hAnsi="黑体" w:eastAsia="黑体" w:cs="黑体"/>
          <w:kern w:val="0"/>
          <w:szCs w:val="20"/>
        </w:rPr>
        <w:t>5.1.1</w:t>
      </w:r>
      <w:r>
        <w:rPr>
          <w:rFonts w:ascii="Times New Roman" w:hAnsi="Times New Roman"/>
        </w:rPr>
        <w:t xml:space="preserve">  </w:t>
      </w:r>
      <w:r>
        <w:rPr>
          <w:rFonts w:hint="eastAsia" w:ascii="Times New Roman" w:hAnsi="Times New Roman"/>
        </w:rPr>
        <w:t>承担重大活动</w:t>
      </w:r>
      <w:r>
        <w:rPr>
          <w:rFonts w:hint="eastAsia" w:ascii="Times New Roman" w:hAnsi="Times New Roman"/>
          <w:lang w:val="en-US" w:eastAsia="zh-CN"/>
        </w:rPr>
        <w:t>餐饮服务</w:t>
      </w:r>
      <w:r>
        <w:rPr>
          <w:rFonts w:hint="eastAsia" w:ascii="Times New Roman" w:hAnsi="Times New Roman"/>
        </w:rPr>
        <w:t>食品安全组织管理责任，应</w:t>
      </w:r>
      <w:r>
        <w:rPr>
          <w:rFonts w:hint="eastAsia" w:ascii="Times New Roman" w:hAnsi="Times New Roman"/>
          <w:lang w:val="en-US" w:eastAsia="zh-CN"/>
        </w:rPr>
        <w:t>成立</w:t>
      </w:r>
      <w:r>
        <w:rPr>
          <w:rFonts w:hint="eastAsia" w:ascii="Times New Roman" w:hAnsi="Times New Roman"/>
        </w:rPr>
        <w:t>食品安全保障工作组，指定具有食品安全相关专业</w:t>
      </w:r>
      <w:r>
        <w:rPr>
          <w:rFonts w:hint="eastAsia" w:ascii="Times New Roman" w:hAnsi="Times New Roman"/>
          <w:lang w:eastAsia="zh-CN"/>
        </w:rPr>
        <w:t>（</w:t>
      </w:r>
      <w:r>
        <w:rPr>
          <w:rFonts w:hint="eastAsia" w:ascii="Times New Roman" w:hAnsi="Times New Roman"/>
          <w:lang w:val="en-US" w:eastAsia="zh-CN"/>
        </w:rPr>
        <w:t>食品、生物、化学等专业</w:t>
      </w:r>
      <w:r>
        <w:rPr>
          <w:rFonts w:hint="eastAsia" w:ascii="Times New Roman" w:hAnsi="Times New Roman"/>
          <w:lang w:eastAsia="zh-CN"/>
        </w:rPr>
        <w:t>）</w:t>
      </w:r>
      <w:r>
        <w:rPr>
          <w:rFonts w:hint="eastAsia" w:ascii="Times New Roman" w:hAnsi="Times New Roman"/>
        </w:rPr>
        <w:t>背景或接受过食品安全管理培训并通过考核的人员为食品安全责任人，负责重大活动期间的食品安全保障工作</w:t>
      </w:r>
      <w:r>
        <w:rPr>
          <w:rFonts w:hint="eastAsia" w:ascii="Times New Roman" w:hAnsi="Times New Roman"/>
          <w:lang w:eastAsia="zh-CN"/>
        </w:rPr>
        <w:t>。</w:t>
      </w:r>
    </w:p>
    <w:p>
      <w:pPr>
        <w:spacing w:line="240" w:lineRule="auto"/>
        <w:rPr>
          <w:rFonts w:hint="eastAsia" w:ascii="Times New Roman" w:hAnsi="Times New Roman" w:eastAsia="宋体"/>
          <w:lang w:eastAsia="zh-CN"/>
        </w:rPr>
      </w:pPr>
      <w:r>
        <w:rPr>
          <w:rFonts w:hint="eastAsia" w:ascii="黑体" w:hAnsi="黑体" w:eastAsia="黑体" w:cs="黑体"/>
          <w:kern w:val="0"/>
          <w:szCs w:val="20"/>
        </w:rPr>
        <w:t>5.1.2</w:t>
      </w:r>
      <w:r>
        <w:rPr>
          <w:rFonts w:hint="eastAsia" w:ascii="Times New Roman" w:hAnsi="Times New Roman"/>
        </w:rPr>
        <w:t xml:space="preserve">  遴选至少2家餐饮服务提供者报送至食品安全监督管理部门审批备案。餐饮服务提供者需满足：a）应具有合法有效的经营资质，具有健全的食品安全管理制度并有有效运行记录；b）应具备与餐饮服务食品安全监督管理量化分级A级（或具备与A级标准相当的条件）；其供餐能力、供餐形式应与当次重大活动相适应；c）近三年未发生重大食品安全事故，无隐瞒、谎报、缓报食品安全事故的行为；d）具备确保重大活动食品安全应具备的其他条件</w:t>
      </w:r>
      <w:r>
        <w:rPr>
          <w:rFonts w:hint="eastAsia" w:ascii="Times New Roman" w:hAnsi="Times New Roman"/>
          <w:lang w:eastAsia="zh-CN"/>
        </w:rPr>
        <w:t>。</w:t>
      </w:r>
    </w:p>
    <w:p>
      <w:pPr>
        <w:spacing w:line="240" w:lineRule="auto"/>
        <w:rPr>
          <w:rFonts w:ascii="Times New Roman" w:hAnsi="Times New Roman"/>
        </w:rPr>
      </w:pPr>
      <w:r>
        <w:rPr>
          <w:rFonts w:hint="eastAsia" w:ascii="黑体" w:hAnsi="黑体" w:eastAsia="黑体" w:cs="黑体"/>
          <w:kern w:val="0"/>
          <w:szCs w:val="20"/>
        </w:rPr>
        <w:t xml:space="preserve">5.1.3 </w:t>
      </w:r>
      <w:r>
        <w:rPr>
          <w:rFonts w:hint="eastAsia" w:ascii="Times New Roman" w:hAnsi="Times New Roman"/>
        </w:rPr>
        <w:t xml:space="preserve"> 应与餐饮服务提供者签订重大活动餐饮服务协议，明确双方有关餐饮服务食品安全的权利和义务</w:t>
      </w:r>
      <w:r>
        <w:rPr>
          <w:rFonts w:hint="eastAsia" w:ascii="Times New Roman" w:hAnsi="Times New Roman"/>
          <w:lang w:eastAsia="zh-CN"/>
        </w:rPr>
        <w:t>。</w:t>
      </w:r>
    </w:p>
    <w:p>
      <w:pPr>
        <w:spacing w:line="240" w:lineRule="auto"/>
        <w:rPr>
          <w:rFonts w:ascii="Times New Roman" w:hAnsi="Times New Roman"/>
        </w:rPr>
      </w:pPr>
      <w:r>
        <w:rPr>
          <w:rFonts w:hint="eastAsia" w:ascii="黑体" w:hAnsi="黑体" w:eastAsia="黑体" w:cs="黑体"/>
          <w:kern w:val="0"/>
          <w:szCs w:val="20"/>
        </w:rPr>
        <w:t>5.1.4</w:t>
      </w:r>
      <w:r>
        <w:rPr>
          <w:rFonts w:hint="eastAsia" w:ascii="Times New Roman" w:hAnsi="Times New Roman"/>
        </w:rPr>
        <w:t xml:space="preserve">  应组织食品安全相关方开展食品安全培训，按照餐饮服务食品安全相关要求督促餐饮服务提供者开展食品安全自查，对发现不符合相关标准法规要求的情况应要求餐饮服务提供者及时进行纠正</w:t>
      </w:r>
      <w:r>
        <w:rPr>
          <w:rFonts w:hint="eastAsia" w:ascii="Times New Roman" w:hAnsi="Times New Roman"/>
          <w:lang w:eastAsia="zh-CN"/>
        </w:rPr>
        <w:t>。</w:t>
      </w:r>
    </w:p>
    <w:p>
      <w:pPr>
        <w:spacing w:line="240" w:lineRule="auto"/>
        <w:rPr>
          <w:rFonts w:hint="eastAsia" w:ascii="Times New Roman" w:hAnsi="Times New Roman" w:eastAsia="宋体"/>
          <w:lang w:eastAsia="zh-CN"/>
        </w:rPr>
      </w:pPr>
      <w:r>
        <w:rPr>
          <w:rFonts w:hint="eastAsia" w:ascii="黑体" w:hAnsi="黑体" w:eastAsia="黑体" w:cs="黑体"/>
          <w:kern w:val="0"/>
          <w:szCs w:val="20"/>
        </w:rPr>
        <w:t>5.1.5</w:t>
      </w:r>
      <w:r>
        <w:rPr>
          <w:rFonts w:ascii="Times New Roman" w:hAnsi="Times New Roman"/>
        </w:rPr>
        <w:t xml:space="preserve">  </w:t>
      </w:r>
      <w:r>
        <w:rPr>
          <w:rFonts w:hint="eastAsia" w:ascii="Times New Roman" w:hAnsi="Times New Roman"/>
        </w:rPr>
        <w:t>应督促餐饮服务提供者详细记录食品及食品相关产品供应链各环节信息，确保食品及食品相关产品安全可追溯</w:t>
      </w:r>
      <w:r>
        <w:rPr>
          <w:rFonts w:hint="eastAsia" w:ascii="Times New Roman" w:hAnsi="Times New Roman"/>
          <w:lang w:eastAsia="zh-CN"/>
        </w:rPr>
        <w:t>。</w:t>
      </w:r>
    </w:p>
    <w:p>
      <w:pPr>
        <w:spacing w:line="240" w:lineRule="auto"/>
        <w:rPr>
          <w:rFonts w:hint="eastAsia" w:ascii="Times New Roman" w:hAnsi="Times New Roman" w:eastAsia="宋体"/>
          <w:lang w:eastAsia="zh-CN"/>
        </w:rPr>
      </w:pPr>
      <w:r>
        <w:rPr>
          <w:rFonts w:hint="eastAsia" w:ascii="黑体" w:hAnsi="黑体" w:eastAsia="黑体" w:cs="黑体"/>
          <w:kern w:val="0"/>
          <w:szCs w:val="20"/>
        </w:rPr>
        <w:t>5.1.6</w:t>
      </w:r>
      <w:r>
        <w:rPr>
          <w:rFonts w:ascii="Times New Roman" w:hAnsi="Times New Roman"/>
        </w:rPr>
        <w:t xml:space="preserve">  </w:t>
      </w:r>
      <w:r>
        <w:rPr>
          <w:rFonts w:hint="eastAsia" w:ascii="Times New Roman" w:hAnsi="Times New Roman"/>
        </w:rPr>
        <w:t>应制定完整的重大活动</w:t>
      </w:r>
      <w:r>
        <w:rPr>
          <w:rFonts w:hint="eastAsia" w:ascii="Times New Roman" w:hAnsi="Times New Roman"/>
          <w:lang w:val="en-US" w:eastAsia="zh-CN"/>
        </w:rPr>
        <w:t>餐饮服务</w:t>
      </w:r>
      <w:r>
        <w:rPr>
          <w:rFonts w:hint="eastAsia" w:ascii="Times New Roman" w:hAnsi="Times New Roman"/>
        </w:rPr>
        <w:t>食品安全工作方案和应急预案</w:t>
      </w:r>
      <w:r>
        <w:rPr>
          <w:rFonts w:hint="eastAsia" w:ascii="Times New Roman" w:hAnsi="Times New Roman"/>
          <w:lang w:eastAsia="zh-CN"/>
        </w:rPr>
        <w:t>。</w:t>
      </w:r>
    </w:p>
    <w:p>
      <w:pPr>
        <w:spacing w:line="240" w:lineRule="auto"/>
        <w:rPr>
          <w:rFonts w:ascii="Times New Roman" w:hAnsi="Times New Roman"/>
        </w:rPr>
      </w:pPr>
      <w:r>
        <w:rPr>
          <w:rFonts w:hint="eastAsia" w:ascii="黑体" w:hAnsi="黑体" w:eastAsia="黑体" w:cs="黑体"/>
          <w:kern w:val="0"/>
          <w:szCs w:val="20"/>
        </w:rPr>
        <w:t>5.1.7</w:t>
      </w:r>
      <w:r>
        <w:rPr>
          <w:rFonts w:ascii="Times New Roman" w:hAnsi="Times New Roman"/>
        </w:rPr>
        <w:t xml:space="preserve">  </w:t>
      </w:r>
      <w:r>
        <w:rPr>
          <w:rFonts w:hint="eastAsia" w:ascii="Times New Roman" w:hAnsi="Times New Roman"/>
        </w:rPr>
        <w:t>应于活动举办前15-20个工作日向餐饮服务食品安全监管部门通报相关信息及资料，并应在重大活动举办期间，为食品安全监督管理部门提供开展工作所需的条件</w:t>
      </w:r>
      <w:r>
        <w:rPr>
          <w:rFonts w:hint="eastAsia" w:ascii="Times New Roman" w:hAnsi="Times New Roman"/>
          <w:lang w:eastAsia="zh-CN"/>
        </w:rPr>
        <w:t>。</w:t>
      </w:r>
    </w:p>
    <w:p>
      <w:pPr>
        <w:pStyle w:val="236"/>
        <w:numPr>
          <w:ilvl w:val="0"/>
          <w:numId w:val="0"/>
        </w:numPr>
        <w:spacing w:before="312" w:after="312"/>
        <w:rPr>
          <w:rFonts w:hAnsi="黑体" w:cs="黑体"/>
        </w:rPr>
      </w:pPr>
      <w:bookmarkStart w:id="59" w:name="_Toc25475"/>
      <w:bookmarkStart w:id="60" w:name="_Toc75795938"/>
      <w:bookmarkStart w:id="61" w:name="_Toc75795394"/>
      <w:bookmarkStart w:id="62" w:name="_Toc81409544"/>
      <w:bookmarkStart w:id="63" w:name="_Toc105509180"/>
      <w:r>
        <w:rPr>
          <w:rFonts w:hint="eastAsia" w:hAnsi="黑体" w:cs="黑体"/>
        </w:rPr>
        <w:t>5.2餐饮服务提供者</w:t>
      </w:r>
      <w:bookmarkEnd w:id="59"/>
      <w:bookmarkEnd w:id="60"/>
      <w:bookmarkEnd w:id="61"/>
      <w:bookmarkEnd w:id="62"/>
      <w:bookmarkEnd w:id="63"/>
    </w:p>
    <w:p>
      <w:pPr>
        <w:spacing w:line="240" w:lineRule="auto"/>
        <w:ind w:firstLine="420" w:firstLineChars="200"/>
        <w:rPr>
          <w:rFonts w:ascii="Times New Roman" w:hAnsi="Times New Roman"/>
        </w:rPr>
      </w:pPr>
      <w:r>
        <w:rPr>
          <w:rFonts w:hint="eastAsia" w:ascii="Times New Roman" w:hAnsi="Times New Roman"/>
        </w:rPr>
        <w:t>餐饮服务提供者为重大活动提供餐饮服务，应</w:t>
      </w:r>
      <w:r>
        <w:rPr>
          <w:rFonts w:hint="eastAsia" w:ascii="Times New Roman" w:hAnsi="Times New Roman"/>
          <w:lang w:val="en-US" w:eastAsia="zh-CN"/>
        </w:rPr>
        <w:t>成立</w:t>
      </w:r>
      <w:r>
        <w:rPr>
          <w:rFonts w:hint="eastAsia" w:ascii="Times New Roman" w:hAnsi="Times New Roman"/>
        </w:rPr>
        <w:t>重大活动餐饮服务食品安全工作专班，明确责任人，制定重大活动餐饮服务食品安全实施方案和食品安全事故应急处置方案备查；应严格按照《餐饮服务食品安全操作规范》进行自查，做好重大活动餐饮服务食品安全保障工作。</w:t>
      </w:r>
    </w:p>
    <w:p>
      <w:pPr>
        <w:spacing w:line="240" w:lineRule="auto"/>
        <w:rPr>
          <w:rFonts w:ascii="Times New Roman" w:hAnsi="Times New Roman"/>
        </w:rPr>
      </w:pPr>
      <w:r>
        <w:rPr>
          <w:rFonts w:hint="eastAsia" w:ascii="黑体" w:hAnsi="黑体" w:eastAsia="黑体" w:cs="黑体"/>
          <w:kern w:val="0"/>
          <w:szCs w:val="20"/>
        </w:rPr>
        <w:t>5.2.1</w:t>
      </w:r>
      <w:r>
        <w:rPr>
          <w:rFonts w:hint="eastAsia" w:ascii="Times New Roman" w:hAnsi="Times New Roman"/>
        </w:rPr>
        <w:t xml:space="preserve">  依法承担食品安全主体责任，应严格控制餐饮服务食品安全风险，</w:t>
      </w:r>
      <w:r>
        <w:rPr>
          <w:rFonts w:hint="eastAsia" w:ascii="Times New Roman" w:hAnsi="Times New Roman"/>
          <w:lang w:val="en-US" w:eastAsia="zh-CN"/>
        </w:rPr>
        <w:t>保障</w:t>
      </w:r>
      <w:r>
        <w:rPr>
          <w:rFonts w:hint="eastAsia" w:ascii="Times New Roman" w:hAnsi="Times New Roman"/>
        </w:rPr>
        <w:t>餐饮供应，确保重大活动食品安全。</w:t>
      </w:r>
    </w:p>
    <w:p>
      <w:pPr>
        <w:spacing w:line="240" w:lineRule="auto"/>
        <w:rPr>
          <w:rFonts w:ascii="Times New Roman" w:hAnsi="Times New Roman"/>
        </w:rPr>
      </w:pPr>
      <w:r>
        <w:rPr>
          <w:rFonts w:hint="eastAsia" w:ascii="黑体" w:hAnsi="黑体" w:eastAsia="黑体" w:cs="黑体"/>
          <w:kern w:val="0"/>
          <w:szCs w:val="20"/>
        </w:rPr>
        <w:t>5.2.2</w:t>
      </w:r>
      <w:r>
        <w:rPr>
          <w:rFonts w:ascii="Times New Roman" w:hAnsi="Times New Roman"/>
        </w:rPr>
        <w:t xml:space="preserve">  </w:t>
      </w:r>
      <w:r>
        <w:rPr>
          <w:rFonts w:hint="eastAsia" w:ascii="Times New Roman" w:hAnsi="Times New Roman"/>
        </w:rPr>
        <w:t>应具备合法有效的经营资质。</w:t>
      </w:r>
    </w:p>
    <w:p>
      <w:pPr>
        <w:spacing w:line="240" w:lineRule="auto"/>
        <w:rPr>
          <w:rFonts w:ascii="Times New Roman" w:hAnsi="Times New Roman"/>
        </w:rPr>
      </w:pPr>
      <w:r>
        <w:rPr>
          <w:rFonts w:hint="eastAsia" w:ascii="黑体" w:hAnsi="黑体" w:eastAsia="黑体" w:cs="黑体"/>
          <w:kern w:val="0"/>
          <w:szCs w:val="20"/>
        </w:rPr>
        <w:t>5.2.3</w:t>
      </w:r>
      <w:r>
        <w:rPr>
          <w:rFonts w:ascii="Times New Roman" w:hAnsi="Times New Roman"/>
        </w:rPr>
        <w:t xml:space="preserve">  </w:t>
      </w:r>
      <w:r>
        <w:rPr>
          <w:rFonts w:hint="eastAsia" w:ascii="Times New Roman" w:hAnsi="Times New Roman"/>
        </w:rPr>
        <w:t>应配备专职食品安全管理人员，宜设立食品安全管理机构，负责本单位食品安全管理工作。</w:t>
      </w:r>
    </w:p>
    <w:p>
      <w:pPr>
        <w:spacing w:line="240" w:lineRule="auto"/>
        <w:rPr>
          <w:rFonts w:ascii="Times New Roman" w:hAnsi="Times New Roman"/>
        </w:rPr>
      </w:pPr>
      <w:r>
        <w:rPr>
          <w:rFonts w:hint="eastAsia" w:ascii="黑体" w:hAnsi="黑体" w:eastAsia="黑体" w:cs="黑体"/>
          <w:kern w:val="0"/>
          <w:szCs w:val="20"/>
        </w:rPr>
        <w:t>5.2.4</w:t>
      </w:r>
      <w:r>
        <w:rPr>
          <w:rFonts w:ascii="Times New Roman" w:hAnsi="Times New Roman"/>
        </w:rPr>
        <w:t xml:space="preserve">  </w:t>
      </w:r>
      <w:r>
        <w:rPr>
          <w:rFonts w:hint="eastAsia" w:ascii="Times New Roman" w:hAnsi="Times New Roman"/>
        </w:rPr>
        <w:t>应根据自身业态、经营项目、供餐对象、供餐数量等，制定并落实各项食品安全管理制度。</w:t>
      </w:r>
    </w:p>
    <w:p>
      <w:pPr>
        <w:spacing w:line="240" w:lineRule="auto"/>
        <w:rPr>
          <w:rFonts w:ascii="Times New Roman" w:hAnsi="Times New Roman"/>
        </w:rPr>
      </w:pPr>
      <w:r>
        <w:rPr>
          <w:rFonts w:hint="eastAsia" w:ascii="黑体" w:hAnsi="黑体" w:eastAsia="黑体" w:cs="黑体"/>
          <w:kern w:val="0"/>
          <w:szCs w:val="20"/>
        </w:rPr>
        <w:t xml:space="preserve">5.2.5 </w:t>
      </w:r>
      <w:r>
        <w:rPr>
          <w:rFonts w:ascii="Times New Roman" w:hAnsi="Times New Roman"/>
        </w:rPr>
        <w:t xml:space="preserve"> </w:t>
      </w:r>
      <w:r>
        <w:rPr>
          <w:rFonts w:hint="eastAsia" w:ascii="Times New Roman" w:hAnsi="Times New Roman"/>
        </w:rPr>
        <w:t>应与主办单位签订重大活动餐饮服务协议，明确双方涉及餐饮服务食品安全的权利与义务。</w:t>
      </w:r>
    </w:p>
    <w:p>
      <w:pPr>
        <w:spacing w:line="240" w:lineRule="auto"/>
        <w:rPr>
          <w:rFonts w:ascii="Times New Roman" w:hAnsi="Times New Roman"/>
        </w:rPr>
      </w:pPr>
      <w:r>
        <w:rPr>
          <w:rFonts w:hint="eastAsia" w:ascii="黑体" w:hAnsi="黑体" w:eastAsia="黑体" w:cs="黑体"/>
          <w:kern w:val="0"/>
          <w:szCs w:val="20"/>
        </w:rPr>
        <w:t>5.2.6</w:t>
      </w:r>
      <w:r>
        <w:rPr>
          <w:rFonts w:ascii="Times New Roman" w:hAnsi="Times New Roman"/>
        </w:rPr>
        <w:t xml:space="preserve">  </w:t>
      </w:r>
      <w:r>
        <w:rPr>
          <w:rFonts w:hint="eastAsia" w:ascii="Times New Roman" w:hAnsi="Times New Roman"/>
        </w:rPr>
        <w:t>应就单项重大活动制定餐饮服务保障方案、应急处置预案。</w:t>
      </w:r>
    </w:p>
    <w:p>
      <w:pPr>
        <w:spacing w:line="240" w:lineRule="auto"/>
        <w:rPr>
          <w:rFonts w:ascii="Times New Roman" w:hAnsi="Times New Roman"/>
        </w:rPr>
      </w:pPr>
      <w:r>
        <w:rPr>
          <w:rFonts w:hint="eastAsia" w:ascii="黑体" w:hAnsi="黑体" w:eastAsia="黑体" w:cs="黑体"/>
          <w:kern w:val="0"/>
          <w:szCs w:val="20"/>
        </w:rPr>
        <w:t xml:space="preserve">5.2.7 </w:t>
      </w:r>
      <w:r>
        <w:rPr>
          <w:rFonts w:ascii="Times New Roman" w:hAnsi="Times New Roman"/>
        </w:rPr>
        <w:t xml:space="preserve"> </w:t>
      </w:r>
      <w:r>
        <w:rPr>
          <w:rFonts w:hint="eastAsia" w:ascii="Times New Roman" w:hAnsi="Times New Roman"/>
        </w:rPr>
        <w:t>应在重大活动正式开始前</w:t>
      </w:r>
      <w:r>
        <w:rPr>
          <w:rFonts w:hint="eastAsia" w:ascii="Times New Roman" w:hAnsi="Times New Roman"/>
          <w:lang w:val="en-US" w:eastAsia="zh-CN"/>
        </w:rPr>
        <w:t>3~5日</w:t>
      </w:r>
      <w:r>
        <w:rPr>
          <w:rFonts w:hint="eastAsia" w:ascii="Times New Roman" w:hAnsi="Times New Roman"/>
        </w:rPr>
        <w:t>，结合主办单位要求，依照《中华人民共和国食品安全法》等法律、法规、部门规章的相关要求，自行或委托第三方专业机构开展食品安全专项自查；</w:t>
      </w:r>
    </w:p>
    <w:p>
      <w:pPr>
        <w:spacing w:line="240" w:lineRule="auto"/>
        <w:rPr>
          <w:rFonts w:ascii="宋体" w:hAnsi="宋体" w:cs="宋体"/>
        </w:rPr>
      </w:pPr>
      <w:r>
        <w:rPr>
          <w:rFonts w:hint="eastAsia" w:ascii="宋体" w:hAnsi="宋体" w:cs="宋体"/>
        </w:rPr>
        <w:t>a）应形成专项自查报告留存备查，对专项自查中发现的食品安全风险，应立即采取有效控制措施进行整改，及时消除隐患；</w:t>
      </w:r>
    </w:p>
    <w:p>
      <w:pPr>
        <w:spacing w:line="240" w:lineRule="auto"/>
        <w:rPr>
          <w:rFonts w:ascii="Times New Roman" w:hAnsi="Times New Roman"/>
        </w:rPr>
      </w:pPr>
      <w:r>
        <w:rPr>
          <w:rFonts w:hint="eastAsia" w:ascii="宋体" w:hAnsi="宋体" w:cs="宋体"/>
        </w:rPr>
        <w:t>b）在专项自查中发现不能满足接待任务要求或无法保证食品安全的情况</w:t>
      </w:r>
      <w:r>
        <w:rPr>
          <w:rFonts w:hint="eastAsia" w:ascii="Times New Roman" w:hAnsi="Times New Roman"/>
        </w:rPr>
        <w:t>，应及时向主办单位提请取消接待任务。</w:t>
      </w:r>
    </w:p>
    <w:p>
      <w:pPr>
        <w:spacing w:line="240" w:lineRule="auto"/>
        <w:rPr>
          <w:rFonts w:ascii="Times New Roman" w:hAnsi="Times New Roman"/>
        </w:rPr>
      </w:pPr>
      <w:r>
        <w:rPr>
          <w:rFonts w:hint="eastAsia" w:ascii="黑体" w:hAnsi="黑体" w:eastAsia="黑体" w:cs="黑体"/>
          <w:kern w:val="0"/>
          <w:szCs w:val="20"/>
        </w:rPr>
        <w:t>5.2.8</w:t>
      </w:r>
      <w:r>
        <w:rPr>
          <w:rFonts w:ascii="Times New Roman" w:hAnsi="Times New Roman"/>
        </w:rPr>
        <w:t xml:space="preserve">  </w:t>
      </w:r>
      <w:r>
        <w:rPr>
          <w:rFonts w:hint="eastAsia" w:ascii="Times New Roman" w:hAnsi="Times New Roman"/>
        </w:rPr>
        <w:t>应就当次重大活动制定菜谱，推荐性重大活动餐饮服务禁用食品清单见附录D；</w:t>
      </w:r>
    </w:p>
    <w:p>
      <w:pPr>
        <w:spacing w:line="240" w:lineRule="auto"/>
        <w:rPr>
          <w:rFonts w:hint="eastAsia" w:ascii="宋体" w:hAnsi="宋体" w:cs="宋体"/>
        </w:rPr>
      </w:pPr>
      <w:r>
        <w:rPr>
          <w:rFonts w:hint="eastAsia" w:ascii="宋体" w:hAnsi="宋体" w:cs="宋体"/>
        </w:rPr>
        <w:t>a）应根据民族、宗教习俗等特定要求，制定相应的菜谱；</w:t>
      </w:r>
    </w:p>
    <w:p>
      <w:pPr>
        <w:spacing w:line="240" w:lineRule="auto"/>
        <w:rPr>
          <w:rFonts w:hint="eastAsia" w:ascii="宋体" w:hAnsi="宋体" w:eastAsia="宋体" w:cs="宋体"/>
          <w:lang w:eastAsia="zh-CN"/>
        </w:rPr>
      </w:pPr>
      <w:r>
        <w:rPr>
          <w:rFonts w:hint="eastAsia" w:ascii="宋体" w:hAnsi="宋体" w:cs="宋体"/>
        </w:rPr>
        <w:t>b）制订菜谱时，需考虑重要接待对象过敏源</w:t>
      </w:r>
      <w:r>
        <w:rPr>
          <w:rFonts w:hint="eastAsia" w:ascii="宋体" w:hAnsi="宋体" w:cs="宋体"/>
          <w:lang w:eastAsia="zh-CN"/>
        </w:rPr>
        <w:t>；</w:t>
      </w:r>
    </w:p>
    <w:p>
      <w:pPr>
        <w:spacing w:line="240" w:lineRule="auto"/>
        <w:rPr>
          <w:rFonts w:ascii="Times New Roman" w:hAnsi="Times New Roman"/>
        </w:rPr>
      </w:pPr>
      <w:r>
        <w:rPr>
          <w:rFonts w:hint="eastAsia" w:ascii="宋体" w:hAnsi="宋体" w:cs="宋体"/>
          <w:lang w:val="en-US" w:eastAsia="zh-CN"/>
        </w:rPr>
        <w:t>c</w:t>
      </w:r>
      <w:r>
        <w:rPr>
          <w:rFonts w:hint="eastAsia" w:ascii="宋体" w:hAnsi="宋体" w:cs="宋体"/>
        </w:rPr>
        <w:t xml:space="preserve">） </w:t>
      </w:r>
      <w:r>
        <w:rPr>
          <w:rFonts w:hint="eastAsia" w:ascii="Times New Roman" w:hAnsi="Times New Roman"/>
        </w:rPr>
        <w:t>应在重大活动开始前将菜谱报送承担重大活动监督任务的监管部门审核，并按照审核意见进行调整。菜谱经审定后不得擅自调整。</w:t>
      </w:r>
    </w:p>
    <w:p>
      <w:pPr>
        <w:pStyle w:val="236"/>
        <w:numPr>
          <w:ilvl w:val="0"/>
          <w:numId w:val="0"/>
        </w:numPr>
        <w:spacing w:before="312" w:after="312"/>
        <w:rPr>
          <w:rFonts w:hAnsi="黑体" w:cs="黑体"/>
        </w:rPr>
      </w:pPr>
      <w:bookmarkStart w:id="64" w:name="_Toc75795939"/>
      <w:bookmarkStart w:id="65" w:name="_Toc105509181"/>
      <w:bookmarkStart w:id="66" w:name="_Toc81409545"/>
      <w:bookmarkStart w:id="67" w:name="_Toc23581"/>
      <w:bookmarkStart w:id="68" w:name="_Toc75795395"/>
      <w:r>
        <w:rPr>
          <w:rFonts w:hint="eastAsia" w:hAnsi="黑体" w:cs="黑体"/>
        </w:rPr>
        <w:t>5.3监管部门</w:t>
      </w:r>
      <w:bookmarkEnd w:id="64"/>
      <w:bookmarkEnd w:id="65"/>
      <w:bookmarkEnd w:id="66"/>
      <w:bookmarkEnd w:id="67"/>
      <w:bookmarkEnd w:id="68"/>
    </w:p>
    <w:p>
      <w:pPr>
        <w:spacing w:line="240" w:lineRule="auto"/>
        <w:rPr>
          <w:rFonts w:ascii="Times New Roman" w:hAnsi="Times New Roman"/>
        </w:rPr>
      </w:pPr>
      <w:r>
        <w:rPr>
          <w:rFonts w:ascii="Times New Roman" w:hAnsi="Times New Roman"/>
        </w:rPr>
        <w:t xml:space="preserve">  </w:t>
      </w:r>
      <w:r>
        <w:rPr>
          <w:rFonts w:hint="eastAsia" w:ascii="Times New Roman" w:hAnsi="Times New Roman"/>
        </w:rPr>
        <w:t xml:space="preserve">  餐饮服务食品安全监管部门应根据日常监管、提供重大活动餐饮服务等情况，建立重大活动餐饮服务提供者信息库进行动态管理。在重大活动期间应加强对重大活动餐饮服务提供者的监督检查，严格按照保障程序开展工作，对检查发现的食品安全隐患，及时监督整改，必要时与主办单位协商调整餐饮服务提供者。</w:t>
      </w:r>
    </w:p>
    <w:p>
      <w:pPr>
        <w:spacing w:line="240" w:lineRule="auto"/>
        <w:rPr>
          <w:rFonts w:ascii="Times New Roman" w:hAnsi="Times New Roman"/>
        </w:rPr>
      </w:pPr>
      <w:r>
        <w:rPr>
          <w:rFonts w:hint="eastAsia" w:ascii="黑体" w:hAnsi="黑体" w:eastAsia="黑体" w:cs="黑体"/>
          <w:kern w:val="0"/>
          <w:szCs w:val="20"/>
        </w:rPr>
        <w:t>5.3.1</w:t>
      </w:r>
      <w:r>
        <w:rPr>
          <w:rFonts w:hint="eastAsia" w:ascii="Times New Roman" w:hAnsi="Times New Roman" w:eastAsia="黑体"/>
        </w:rPr>
        <w:t xml:space="preserve">  </w:t>
      </w:r>
      <w:r>
        <w:rPr>
          <w:rFonts w:hint="eastAsia" w:ascii="Times New Roman" w:hAnsi="Times New Roman"/>
        </w:rPr>
        <w:t>监管部门承担重大活动餐饮服务食品安全监督职责。</w:t>
      </w:r>
    </w:p>
    <w:p>
      <w:pPr>
        <w:spacing w:line="240" w:lineRule="auto"/>
        <w:rPr>
          <w:rFonts w:ascii="Times New Roman" w:hAnsi="Times New Roman"/>
        </w:rPr>
      </w:pPr>
      <w:r>
        <w:rPr>
          <w:rFonts w:hint="eastAsia" w:ascii="黑体" w:hAnsi="黑体" w:eastAsia="黑体" w:cs="黑体"/>
          <w:kern w:val="0"/>
          <w:szCs w:val="20"/>
        </w:rPr>
        <w:t>5.3.2</w:t>
      </w:r>
      <w:r>
        <w:rPr>
          <w:rFonts w:ascii="Times New Roman" w:hAnsi="Times New Roman" w:eastAsia="黑体"/>
        </w:rPr>
        <w:t xml:space="preserve">  </w:t>
      </w:r>
      <w:r>
        <w:rPr>
          <w:rFonts w:hint="eastAsia" w:ascii="Times New Roman" w:hAnsi="Times New Roman"/>
        </w:rPr>
        <w:t>应按照重大活动的特点或主办单位需求，确定餐饮服务食品安全监督方式和方法，对重大活动餐饮服务提供者实施食品安全监督工作。</w:t>
      </w:r>
    </w:p>
    <w:p>
      <w:pPr>
        <w:spacing w:line="240" w:lineRule="auto"/>
        <w:rPr>
          <w:rFonts w:ascii="Times New Roman" w:hAnsi="Times New Roman"/>
        </w:rPr>
      </w:pPr>
      <w:r>
        <w:rPr>
          <w:rFonts w:hint="eastAsia" w:ascii="黑体" w:hAnsi="黑体" w:eastAsia="黑体" w:cs="黑体"/>
          <w:kern w:val="0"/>
          <w:szCs w:val="20"/>
        </w:rPr>
        <w:t>5.3.3</w:t>
      </w:r>
      <w:r>
        <w:rPr>
          <w:rFonts w:ascii="Times New Roman" w:hAnsi="Times New Roman"/>
        </w:rPr>
        <w:t xml:space="preserve">  </w:t>
      </w:r>
      <w:r>
        <w:rPr>
          <w:rFonts w:hint="eastAsia" w:ascii="Times New Roman" w:hAnsi="Times New Roman"/>
        </w:rPr>
        <w:t>按职责要求进行重大活动食品安全事件应急处置。</w:t>
      </w:r>
    </w:p>
    <w:p>
      <w:pPr>
        <w:spacing w:line="240" w:lineRule="auto"/>
        <w:rPr>
          <w:rFonts w:ascii="Times New Roman" w:hAnsi="Times New Roman"/>
        </w:rPr>
      </w:pPr>
      <w:r>
        <w:rPr>
          <w:rFonts w:hint="eastAsia" w:ascii="黑体" w:hAnsi="黑体" w:eastAsia="黑体" w:cs="黑体"/>
          <w:kern w:val="0"/>
          <w:szCs w:val="20"/>
        </w:rPr>
        <w:t xml:space="preserve">5.3.4 </w:t>
      </w:r>
      <w:r>
        <w:rPr>
          <w:rFonts w:ascii="Times New Roman" w:hAnsi="Times New Roman" w:eastAsia="黑体"/>
        </w:rPr>
        <w:t xml:space="preserve"> </w:t>
      </w:r>
      <w:r>
        <w:rPr>
          <w:rFonts w:hint="eastAsia" w:ascii="Times New Roman" w:hAnsi="Times New Roman"/>
        </w:rPr>
        <w:t>负责落实上级临时下达的重大活动食品安全监督</w:t>
      </w:r>
      <w:r>
        <w:rPr>
          <w:rFonts w:hint="eastAsia" w:ascii="Times New Roman" w:hAnsi="Times New Roman"/>
          <w:lang w:val="en-US" w:eastAsia="zh-CN"/>
        </w:rPr>
        <w:t>其他</w:t>
      </w:r>
      <w:r>
        <w:rPr>
          <w:rFonts w:hint="eastAsia" w:ascii="Times New Roman" w:hAnsi="Times New Roman"/>
        </w:rPr>
        <w:t>任务。</w:t>
      </w:r>
    </w:p>
    <w:p>
      <w:pPr>
        <w:pStyle w:val="107"/>
        <w:spacing w:before="312" w:after="312"/>
        <w:rPr>
          <w:rFonts w:ascii="Times New Roman"/>
          <w:szCs w:val="21"/>
        </w:rPr>
      </w:pPr>
      <w:bookmarkStart w:id="69" w:name="_Toc105509182"/>
      <w:r>
        <w:rPr>
          <w:rFonts w:hint="eastAsia" w:ascii="Times New Roman"/>
          <w:szCs w:val="21"/>
        </w:rPr>
        <w:t>保障程序</w:t>
      </w:r>
      <w:bookmarkEnd w:id="69"/>
    </w:p>
    <w:p>
      <w:pPr>
        <w:spacing w:line="240" w:lineRule="auto"/>
        <w:rPr>
          <w:rFonts w:ascii="黑体" w:hAnsi="黑体" w:eastAsia="黑体" w:cs="黑体"/>
          <w:kern w:val="0"/>
          <w:szCs w:val="20"/>
        </w:rPr>
      </w:pPr>
      <w:r>
        <w:rPr>
          <w:rFonts w:hint="eastAsia" w:ascii="黑体" w:hAnsi="黑体" w:eastAsia="黑体" w:cs="黑体"/>
          <w:kern w:val="0"/>
          <w:szCs w:val="20"/>
        </w:rPr>
        <w:t>6.1  方案制定</w:t>
      </w:r>
    </w:p>
    <w:p>
      <w:pPr>
        <w:spacing w:line="240" w:lineRule="auto"/>
        <w:rPr>
          <w:rFonts w:hint="eastAsia"/>
        </w:rPr>
      </w:pPr>
      <w:r>
        <w:rPr>
          <w:rFonts w:hint="eastAsia" w:ascii="黑体" w:hAnsi="黑体" w:eastAsia="黑体" w:cs="黑体"/>
          <w:kern w:val="0"/>
          <w:szCs w:val="20"/>
        </w:rPr>
        <w:t>6.1.1</w:t>
      </w:r>
      <w:r>
        <w:rPr>
          <w:rFonts w:hint="eastAsia" w:ascii="宋体" w:hAnsi="宋体" w:cs="宋体"/>
          <w:color w:val="333333"/>
          <w:kern w:val="0"/>
        </w:rPr>
        <w:t xml:space="preserve">  </w:t>
      </w:r>
      <w:r>
        <w:rPr>
          <w:rFonts w:hint="eastAsia"/>
        </w:rPr>
        <w:t>餐饮服务食品安全监管部门接到重大活动餐饮服务食品安全监督管理工作任务后，应向主（交）办单位了解重大活动的相关信息，确认重大活动的基本情况，按照重大活动分级来确定餐饮服务食品安全监督保障方式。</w:t>
      </w:r>
    </w:p>
    <w:p>
      <w:pPr>
        <w:spacing w:line="240" w:lineRule="auto"/>
      </w:pPr>
      <w:r>
        <w:rPr>
          <w:rFonts w:hint="eastAsia" w:ascii="黑体" w:hAnsi="黑体" w:eastAsia="黑体" w:cs="黑体"/>
          <w:kern w:val="0"/>
          <w:szCs w:val="20"/>
        </w:rPr>
        <w:t xml:space="preserve">6.1.2 </w:t>
      </w:r>
      <w:r>
        <w:rPr>
          <w:rFonts w:ascii="Times New Roman" w:hAnsi="Times New Roman"/>
        </w:rPr>
        <w:t xml:space="preserve"> </w:t>
      </w:r>
      <w:r>
        <w:rPr>
          <w:rFonts w:hint="eastAsia" w:ascii="Times New Roman" w:hAnsi="Times New Roman"/>
          <w:lang w:val="en-US" w:eastAsia="zh-CN"/>
        </w:rPr>
        <w:t>餐</w:t>
      </w:r>
      <w:r>
        <w:rPr>
          <w:rFonts w:hint="eastAsia"/>
        </w:rPr>
        <w:t>饮服务食品安全监管部门应根据重大活动的性质和规模成立保障专班，确定专职工作部门或专人从事保障的具体组织实施工作；制定保障工作方案（组织领导、工作任务、职责分工、人员名单、进度计划、监督监测计划、体检培训计划、留样要求、信息反馈和经费预算等）及餐饮服务食品安全事故应急预案。</w:t>
      </w:r>
    </w:p>
    <w:p>
      <w:pPr>
        <w:spacing w:line="240" w:lineRule="auto"/>
        <w:rPr>
          <w:rFonts w:ascii="Times New Roman" w:hAnsi="Times New Roman"/>
        </w:rPr>
      </w:pPr>
      <w:r>
        <w:rPr>
          <w:rFonts w:hint="eastAsia" w:ascii="黑体" w:hAnsi="黑体" w:eastAsia="黑体" w:cs="黑体"/>
          <w:kern w:val="0"/>
          <w:szCs w:val="20"/>
        </w:rPr>
        <w:t xml:space="preserve">6.1.3 </w:t>
      </w:r>
      <w:r>
        <w:rPr>
          <w:rFonts w:hint="eastAsia"/>
        </w:rPr>
        <w:t xml:space="preserve"> 餐饮服务食品安全监管部门应根据保障工作需要，选派2名或2名以上具有高度的政治责任心和严谨的工作态度、遵守保密纪律、坚守工作岗位、掌握《重大活动餐饮服务食品安全监督管理规范》、《餐饮服务食品安全操作规范》和食品安全快速检测技术的食品安全监督人员，执行重大活动餐饮服务食品安全保障任务</w:t>
      </w:r>
      <w:r>
        <w:rPr>
          <w:rFonts w:hint="eastAsia" w:ascii="Times New Roman" w:hAnsi="Times New Roman"/>
        </w:rPr>
        <w:t>。</w:t>
      </w:r>
    </w:p>
    <w:p>
      <w:pPr>
        <w:spacing w:line="240" w:lineRule="auto"/>
        <w:rPr>
          <w:rFonts w:ascii="黑体" w:hAnsi="黑体" w:eastAsia="黑体" w:cs="黑体"/>
          <w:kern w:val="0"/>
          <w:szCs w:val="20"/>
        </w:rPr>
      </w:pPr>
      <w:r>
        <w:rPr>
          <w:rFonts w:hint="eastAsia" w:ascii="黑体" w:hAnsi="黑体" w:eastAsia="黑体" w:cs="黑体"/>
          <w:kern w:val="0"/>
          <w:szCs w:val="20"/>
        </w:rPr>
        <w:t>6.2  资格审查</w:t>
      </w:r>
    </w:p>
    <w:p>
      <w:pPr>
        <w:spacing w:line="240" w:lineRule="auto"/>
        <w:ind w:firstLine="420" w:firstLineChars="200"/>
        <w:rPr>
          <w:rFonts w:ascii="Times New Roman" w:hAnsi="Times New Roman"/>
        </w:rPr>
      </w:pPr>
      <w:r>
        <w:rPr>
          <w:rFonts w:hint="eastAsia" w:ascii="Times New Roman" w:hAnsi="Times New Roman"/>
        </w:rPr>
        <w:t>餐饮服务食品安全监管部门根据主办单位和餐饮服务提供者的相关材料，审查餐饮服务提供者是否符合以下条件：</w:t>
      </w:r>
    </w:p>
    <w:p>
      <w:pPr>
        <w:spacing w:line="240" w:lineRule="auto"/>
        <w:rPr>
          <w:rFonts w:ascii="宋体" w:hAnsi="宋体" w:cs="宋体"/>
        </w:rPr>
      </w:pPr>
      <w:r>
        <w:rPr>
          <w:rFonts w:hint="eastAsia" w:ascii="宋体" w:hAnsi="宋体" w:cs="宋体"/>
        </w:rPr>
        <w:t>a）持有有效的餐饮服务许可证；</w:t>
      </w:r>
    </w:p>
    <w:p>
      <w:pPr>
        <w:spacing w:line="240" w:lineRule="auto"/>
        <w:rPr>
          <w:rFonts w:ascii="宋体" w:hAnsi="宋体" w:cs="宋体"/>
        </w:rPr>
      </w:pPr>
      <w:r>
        <w:rPr>
          <w:rFonts w:hint="eastAsia" w:ascii="宋体" w:hAnsi="宋体" w:cs="宋体"/>
        </w:rPr>
        <w:t>b）餐饮服务食品安全监督量化等级Ａ级（或具备与Ａ级标准相当的条件）；</w:t>
      </w:r>
    </w:p>
    <w:p>
      <w:pPr>
        <w:spacing w:line="240" w:lineRule="auto"/>
        <w:rPr>
          <w:rFonts w:ascii="宋体" w:hAnsi="宋体" w:cs="宋体"/>
        </w:rPr>
      </w:pPr>
      <w:r>
        <w:rPr>
          <w:rFonts w:hint="eastAsia" w:ascii="宋体" w:hAnsi="宋体" w:cs="宋体"/>
        </w:rPr>
        <w:t>c）具备与重大活动供餐人数、供餐形式相适应的餐饮服务提供能力；</w:t>
      </w:r>
    </w:p>
    <w:p>
      <w:pPr>
        <w:spacing w:line="240" w:lineRule="auto"/>
        <w:rPr>
          <w:rFonts w:ascii="宋体" w:hAnsi="宋体" w:cs="宋体"/>
        </w:rPr>
      </w:pPr>
      <w:r>
        <w:rPr>
          <w:rFonts w:hint="eastAsia" w:ascii="宋体" w:hAnsi="宋体" w:cs="宋体"/>
        </w:rPr>
        <w:t>d）配备专职食品安全管理人员；</w:t>
      </w:r>
    </w:p>
    <w:p>
      <w:pPr>
        <w:spacing w:line="240" w:lineRule="auto"/>
        <w:rPr>
          <w:rFonts w:ascii="宋体" w:hAnsi="宋体" w:cs="宋体"/>
        </w:rPr>
      </w:pPr>
      <w:r>
        <w:rPr>
          <w:rFonts w:hint="eastAsia" w:ascii="宋体" w:hAnsi="宋体" w:cs="宋体"/>
        </w:rPr>
        <w:t>e）审查指定或赞助食品供应商合法资质，明确食品供应商食品安全责任；</w:t>
      </w:r>
    </w:p>
    <w:p>
      <w:pPr>
        <w:spacing w:line="240" w:lineRule="auto"/>
        <w:rPr>
          <w:rFonts w:ascii="Times New Roman" w:hAnsi="Times New Roman"/>
        </w:rPr>
      </w:pPr>
      <w:r>
        <w:rPr>
          <w:rFonts w:hint="eastAsia" w:ascii="宋体" w:hAnsi="宋体" w:cs="宋体"/>
        </w:rPr>
        <w:t>f）</w:t>
      </w:r>
      <w:r>
        <w:rPr>
          <w:rFonts w:hint="eastAsia" w:ascii="Times New Roman" w:hAnsi="Times New Roman"/>
        </w:rPr>
        <w:t>餐饮服务食品安全监管部门提出的其他要求。</w:t>
      </w:r>
    </w:p>
    <w:p>
      <w:pPr>
        <w:spacing w:line="240" w:lineRule="auto"/>
        <w:rPr>
          <w:rFonts w:ascii="黑体" w:hAnsi="黑体" w:eastAsia="黑体" w:cs="黑体"/>
          <w:kern w:val="0"/>
          <w:szCs w:val="20"/>
        </w:rPr>
      </w:pPr>
      <w:r>
        <w:rPr>
          <w:rFonts w:hint="eastAsia" w:ascii="黑体" w:hAnsi="黑体" w:eastAsia="黑体" w:cs="黑体"/>
          <w:kern w:val="0"/>
          <w:szCs w:val="20"/>
        </w:rPr>
        <w:t>6.3  现场检查</w:t>
      </w:r>
    </w:p>
    <w:p>
      <w:pPr>
        <w:spacing w:line="240" w:lineRule="auto"/>
        <w:rPr>
          <w:rFonts w:ascii="Times New Roman" w:hAnsi="Times New Roman"/>
        </w:rPr>
      </w:pPr>
      <w:r>
        <w:rPr>
          <w:rFonts w:hint="eastAsia" w:ascii="黑体" w:hAnsi="黑体" w:eastAsia="黑体" w:cs="黑体"/>
          <w:kern w:val="0"/>
          <w:szCs w:val="20"/>
        </w:rPr>
        <w:t>6.3.1</w:t>
      </w:r>
      <w:r>
        <w:rPr>
          <w:rFonts w:hint="eastAsia" w:ascii="Times New Roman" w:hAnsi="Times New Roman"/>
        </w:rPr>
        <w:t xml:space="preserve"> 餐饮服务食品安全监管部门应根据《重大活动餐饮服务食品安全监督管理规范》、《餐饮服务食品安全操作规范》及本规范对餐饮服务提供者进行现场检查，检查的主要内容包括：</w:t>
      </w:r>
    </w:p>
    <w:p>
      <w:pPr>
        <w:spacing w:line="240" w:lineRule="auto"/>
        <w:rPr>
          <w:rFonts w:ascii="宋体" w:hAnsi="宋体" w:cs="宋体"/>
        </w:rPr>
      </w:pPr>
      <w:r>
        <w:rPr>
          <w:rFonts w:hint="eastAsia" w:ascii="宋体" w:hAnsi="宋体" w:cs="宋体"/>
        </w:rPr>
        <w:t>a）食品安全组织机构和管理人员配备及工作情况；</w:t>
      </w:r>
    </w:p>
    <w:p>
      <w:pPr>
        <w:spacing w:line="240" w:lineRule="auto"/>
        <w:rPr>
          <w:rFonts w:ascii="宋体" w:hAnsi="宋体" w:cs="宋体"/>
        </w:rPr>
      </w:pPr>
      <w:r>
        <w:rPr>
          <w:rFonts w:hint="eastAsia" w:ascii="宋体" w:hAnsi="宋体" w:cs="宋体"/>
        </w:rPr>
        <w:t>b）食品安全管理制度</w:t>
      </w:r>
      <w:r>
        <w:rPr>
          <w:rFonts w:hint="eastAsia" w:ascii="宋体" w:hAnsi="宋体" w:cs="宋体"/>
          <w:lang w:val="en-US" w:eastAsia="zh-CN"/>
        </w:rPr>
        <w:t>建立</w:t>
      </w:r>
      <w:r>
        <w:rPr>
          <w:rFonts w:hint="eastAsia" w:ascii="宋体" w:hAnsi="宋体" w:cs="宋体"/>
        </w:rPr>
        <w:t>及执行情况；</w:t>
      </w:r>
    </w:p>
    <w:p>
      <w:pPr>
        <w:spacing w:line="240" w:lineRule="auto"/>
        <w:rPr>
          <w:rFonts w:ascii="宋体" w:hAnsi="宋体" w:cs="宋体"/>
        </w:rPr>
      </w:pPr>
      <w:r>
        <w:rPr>
          <w:rFonts w:hint="eastAsia" w:ascii="宋体" w:hAnsi="宋体" w:cs="宋体"/>
        </w:rPr>
        <w:t>c）场所布局设置、设施设备运行情况；</w:t>
      </w:r>
    </w:p>
    <w:p>
      <w:pPr>
        <w:spacing w:line="240" w:lineRule="auto"/>
        <w:rPr>
          <w:rFonts w:ascii="Times New Roman" w:hAnsi="Times New Roman"/>
        </w:rPr>
      </w:pPr>
      <w:r>
        <w:rPr>
          <w:rFonts w:hint="eastAsia" w:ascii="宋体" w:hAnsi="宋体" w:cs="宋体"/>
        </w:rPr>
        <w:t>d）餐</w:t>
      </w:r>
      <w:r>
        <w:rPr>
          <w:rFonts w:hint="eastAsia" w:ascii="Times New Roman" w:hAnsi="Times New Roman"/>
        </w:rPr>
        <w:t>饮服务食品安全监管部门根据重大活动情况规定的其他内容。</w:t>
      </w:r>
    </w:p>
    <w:p>
      <w:pPr>
        <w:spacing w:line="240" w:lineRule="auto"/>
        <w:rPr>
          <w:rFonts w:ascii="Times New Roman" w:hAnsi="Times New Roman"/>
        </w:rPr>
      </w:pPr>
      <w:r>
        <w:rPr>
          <w:rFonts w:hint="eastAsia" w:ascii="黑体" w:hAnsi="黑体" w:eastAsia="黑体" w:cs="黑体"/>
          <w:kern w:val="0"/>
          <w:szCs w:val="20"/>
        </w:rPr>
        <w:t xml:space="preserve">6.3.2 </w:t>
      </w:r>
      <w:r>
        <w:rPr>
          <w:rFonts w:hint="eastAsia" w:ascii="Times New Roman" w:hAnsi="Times New Roman"/>
        </w:rPr>
        <w:t>餐饮服务食品安全监管部门对餐饮服务提供者进行现场检查时应制作现场检查笔录和监督意见书等，并撰写《重大活动餐饮服务提供者食品安全评估报告》(附件3)。</w:t>
      </w:r>
    </w:p>
    <w:p>
      <w:pPr>
        <w:spacing w:line="240" w:lineRule="auto"/>
        <w:rPr>
          <w:rFonts w:ascii="Times New Roman" w:hAnsi="Times New Roman"/>
        </w:rPr>
      </w:pPr>
      <w:r>
        <w:rPr>
          <w:rFonts w:hint="eastAsia" w:ascii="黑体" w:hAnsi="黑体" w:eastAsia="黑体" w:cs="黑体"/>
          <w:kern w:val="0"/>
          <w:szCs w:val="20"/>
          <w:lang w:val="en-US" w:eastAsia="zh-CN"/>
        </w:rPr>
        <w:t>6</w:t>
      </w:r>
      <w:r>
        <w:rPr>
          <w:rFonts w:hint="eastAsia" w:ascii="黑体" w:hAnsi="黑体" w:eastAsia="黑体" w:cs="黑体"/>
          <w:kern w:val="0"/>
          <w:szCs w:val="20"/>
        </w:rPr>
        <w:t>.3.3</w:t>
      </w:r>
      <w:r>
        <w:rPr>
          <w:rFonts w:ascii="Times New Roman" w:hAnsi="Times New Roman"/>
        </w:rPr>
        <w:t xml:space="preserve"> </w:t>
      </w:r>
      <w:r>
        <w:rPr>
          <w:rFonts w:hint="eastAsia"/>
        </w:rPr>
        <w:t>餐饮服务食品安全监管部门应根据重大活动的性质和规模做好人员、车辆、</w:t>
      </w:r>
      <w:r>
        <w:rPr>
          <w:rFonts w:hint="eastAsia"/>
          <w:lang w:val="en-US" w:eastAsia="zh-CN"/>
        </w:rPr>
        <w:t>物资</w:t>
      </w:r>
      <w:r>
        <w:rPr>
          <w:rFonts w:hint="eastAsia"/>
        </w:rPr>
        <w:t>等后勤保障工作，认真部署工作方案内容、熟悉工作程序、活动基本情况、保障工作周期等，并做好执法文书、采样工具、食品安全现场快速检测设备等准备工作</w:t>
      </w:r>
      <w:r>
        <w:rPr>
          <w:rFonts w:hint="eastAsia" w:ascii="Times New Roman" w:hAnsi="Times New Roman"/>
        </w:rPr>
        <w:t>。</w:t>
      </w:r>
    </w:p>
    <w:p>
      <w:pPr>
        <w:spacing w:line="240" w:lineRule="auto"/>
        <w:rPr>
          <w:rFonts w:ascii="Times New Roman" w:hAnsi="Times New Roman"/>
        </w:rPr>
      </w:pPr>
      <w:r>
        <w:rPr>
          <w:rFonts w:hint="eastAsia" w:ascii="黑体" w:hAnsi="黑体" w:eastAsia="黑体" w:cs="黑体"/>
          <w:kern w:val="0"/>
          <w:szCs w:val="20"/>
        </w:rPr>
        <w:t>6.3.4</w:t>
      </w:r>
      <w:r>
        <w:rPr>
          <w:rFonts w:ascii="Times New Roman" w:hAnsi="Times New Roman"/>
        </w:rPr>
        <w:t xml:space="preserve">  </w:t>
      </w:r>
      <w:r>
        <w:rPr>
          <w:rFonts w:hint="eastAsia" w:ascii="Times New Roman" w:hAnsi="Times New Roman"/>
        </w:rPr>
        <w:t>餐饮服务食品安全监管部门进行事前监督检查后，应与重大活动餐饮服务提供者负责人及主办单位有关人员召开协调会议，提出餐饮服务食品安全工作有关事项和具体要求，与餐饮服务提供者负责人签订《重大活动餐饮服务提供者食品安全责任书》（附件4）。对不能及时排除食品安全风险隐患的餐饮服务提供者，应书面提请或要求主办单位予以更换。对整改后可排除食品安全风险隐患的，应监督餐饮服务提供者限期整改到位。</w:t>
      </w:r>
    </w:p>
    <w:p>
      <w:pPr>
        <w:spacing w:line="240" w:lineRule="auto"/>
        <w:rPr>
          <w:rFonts w:ascii="Times New Roman" w:hAnsi="Times New Roman"/>
        </w:rPr>
      </w:pPr>
      <w:r>
        <w:rPr>
          <w:rFonts w:hint="eastAsia" w:ascii="黑体" w:hAnsi="黑体" w:eastAsia="黑体" w:cs="黑体"/>
          <w:kern w:val="0"/>
          <w:szCs w:val="20"/>
        </w:rPr>
        <w:t>6.3.5</w:t>
      </w:r>
      <w:r>
        <w:rPr>
          <w:rFonts w:hint="eastAsia" w:ascii="Times New Roman" w:hAnsi="Times New Roman"/>
        </w:rPr>
        <w:t xml:space="preserve">  餐饮服务食品安全监管部门在实施重大活动餐饮服务食品安全监督管理工作全程监督时，应按照下列程序和内容进行监督检查，并做好工作记录。</w:t>
      </w:r>
    </w:p>
    <w:p>
      <w:pPr>
        <w:spacing w:line="240" w:lineRule="auto"/>
        <w:rPr>
          <w:rFonts w:ascii="黑体" w:hAnsi="黑体" w:eastAsia="黑体" w:cs="黑体"/>
          <w:kern w:val="0"/>
          <w:szCs w:val="20"/>
        </w:rPr>
      </w:pPr>
      <w:r>
        <w:rPr>
          <w:rFonts w:hint="eastAsia" w:ascii="黑体" w:hAnsi="黑体" w:eastAsia="黑体" w:cs="黑体"/>
          <w:kern w:val="0"/>
          <w:szCs w:val="20"/>
        </w:rPr>
        <w:t>6.4  事前评估</w:t>
      </w:r>
    </w:p>
    <w:p>
      <w:pPr>
        <w:spacing w:line="240" w:lineRule="auto"/>
        <w:rPr>
          <w:rFonts w:ascii="Times New Roman" w:hAnsi="Times New Roman"/>
        </w:rPr>
      </w:pPr>
      <w:r>
        <w:rPr>
          <w:rFonts w:hint="eastAsia" w:ascii="黑体" w:hAnsi="黑体" w:eastAsia="黑体" w:cs="黑体"/>
          <w:kern w:val="0"/>
          <w:szCs w:val="20"/>
        </w:rPr>
        <w:t xml:space="preserve">6.4.1 </w:t>
      </w:r>
      <w:r>
        <w:rPr>
          <w:rFonts w:ascii="Times New Roman" w:hAnsi="Times New Roman"/>
        </w:rPr>
        <w:t xml:space="preserve"> </w:t>
      </w:r>
      <w:r>
        <w:t>监管部门应在重大活动开始前</w:t>
      </w:r>
      <w:r>
        <w:rPr>
          <w:rFonts w:hint="eastAsia"/>
          <w:lang w:val="en-US" w:eastAsia="zh-CN"/>
        </w:rPr>
        <w:t>2日</w:t>
      </w:r>
      <w:r>
        <w:t>，对餐饮服务提供者开展事前现场检查， 并根据主体责任落实情况、供餐规模等对其进行评估</w:t>
      </w:r>
      <w:r>
        <w:rPr>
          <w:rFonts w:hint="eastAsia" w:ascii="Times New Roman" w:hAnsi="Times New Roman"/>
        </w:rPr>
        <w:t>。</w:t>
      </w:r>
    </w:p>
    <w:p>
      <w:pPr>
        <w:spacing w:line="240" w:lineRule="auto"/>
        <w:rPr>
          <w:rFonts w:ascii="Times New Roman" w:hAnsi="Times New Roman"/>
        </w:rPr>
      </w:pPr>
      <w:r>
        <w:rPr>
          <w:rFonts w:hint="eastAsia" w:ascii="黑体" w:hAnsi="黑体" w:eastAsia="黑体" w:cs="黑体"/>
          <w:kern w:val="0"/>
          <w:szCs w:val="20"/>
        </w:rPr>
        <w:t>6.4.2</w:t>
      </w:r>
      <w:r>
        <w:rPr>
          <w:rFonts w:ascii="Times New Roman" w:hAnsi="Times New Roman"/>
        </w:rPr>
        <w:t xml:space="preserve">  </w:t>
      </w:r>
      <w:r>
        <w:t>监管部门应在现场检查评估结束后2个工作日内，形成重大活动食品安全评估（检查）意见并送达餐饮服务提供者，发现存在的食品安全风险隐患，提出整改措施、要求和期限</w:t>
      </w:r>
      <w:r>
        <w:rPr>
          <w:rFonts w:hint="eastAsia" w:ascii="Times New Roman" w:hAnsi="Times New Roman"/>
        </w:rPr>
        <w:t>。</w:t>
      </w:r>
    </w:p>
    <w:p>
      <w:pPr>
        <w:spacing w:line="240" w:lineRule="auto"/>
        <w:rPr>
          <w:rFonts w:ascii="Times New Roman" w:hAnsi="Times New Roman"/>
        </w:rPr>
      </w:pPr>
      <w:r>
        <w:rPr>
          <w:rFonts w:hint="eastAsia" w:ascii="黑体" w:hAnsi="黑体" w:eastAsia="黑体" w:cs="黑体"/>
          <w:kern w:val="0"/>
          <w:szCs w:val="20"/>
        </w:rPr>
        <w:t>6.4.3</w:t>
      </w:r>
      <w:r>
        <w:rPr>
          <w:rFonts w:ascii="Times New Roman" w:hAnsi="Times New Roman"/>
        </w:rPr>
        <w:t xml:space="preserve">  </w:t>
      </w:r>
      <w:r>
        <w:t>经事前评估认为餐饮服务提供者存在重大食品安全风险且经整改仍无法保障食品安全的，应及时通报上级监管部门和主办单位</w:t>
      </w:r>
      <w:r>
        <w:rPr>
          <w:rFonts w:hint="eastAsia" w:ascii="Times New Roman" w:hAnsi="Times New Roman"/>
        </w:rPr>
        <w:t>。</w:t>
      </w:r>
    </w:p>
    <w:p>
      <w:pPr>
        <w:spacing w:line="240" w:lineRule="auto"/>
        <w:rPr>
          <w:rFonts w:ascii="Times New Roman" w:hAnsi="Times New Roman"/>
        </w:rPr>
      </w:pPr>
      <w:r>
        <w:rPr>
          <w:rFonts w:hint="eastAsia" w:ascii="黑体" w:hAnsi="黑体" w:eastAsia="黑体" w:cs="黑体"/>
          <w:kern w:val="0"/>
          <w:szCs w:val="20"/>
        </w:rPr>
        <w:t>6.4.4</w:t>
      </w:r>
      <w:r>
        <w:rPr>
          <w:rFonts w:ascii="Times New Roman" w:hAnsi="Times New Roman"/>
        </w:rPr>
        <w:t xml:space="preserve">  </w:t>
      </w:r>
      <w:r>
        <w:rPr>
          <w:rFonts w:hint="eastAsia"/>
        </w:rPr>
        <w:t>监管部门应对餐饮服务提供者报送的重大活动菜谱进行审核</w:t>
      </w:r>
      <w:r>
        <w:rPr>
          <w:rFonts w:hint="eastAsia" w:ascii="Times New Roman" w:hAnsi="Times New Roman"/>
        </w:rPr>
        <w:t>。</w:t>
      </w:r>
    </w:p>
    <w:p>
      <w:pPr>
        <w:spacing w:line="240" w:lineRule="auto"/>
        <w:rPr>
          <w:rFonts w:ascii="黑体" w:hAnsi="黑体" w:eastAsia="黑体" w:cs="黑体"/>
          <w:kern w:val="0"/>
          <w:szCs w:val="20"/>
        </w:rPr>
      </w:pPr>
      <w:r>
        <w:rPr>
          <w:rFonts w:hint="eastAsia" w:ascii="黑体" w:hAnsi="黑体" w:eastAsia="黑体" w:cs="黑体"/>
          <w:kern w:val="0"/>
          <w:szCs w:val="20"/>
        </w:rPr>
        <w:t>6.5  事中监督</w:t>
      </w:r>
    </w:p>
    <w:p>
      <w:pPr>
        <w:spacing w:line="240" w:lineRule="auto"/>
        <w:rPr>
          <w:rFonts w:ascii="Times New Roman" w:hAnsi="Times New Roman"/>
        </w:rPr>
      </w:pPr>
      <w:r>
        <w:rPr>
          <w:rFonts w:hint="eastAsia" w:ascii="黑体" w:hAnsi="黑体" w:eastAsia="黑体" w:cs="黑体"/>
          <w:kern w:val="0"/>
          <w:szCs w:val="20"/>
        </w:rPr>
        <w:t xml:space="preserve">6.5.1 </w:t>
      </w:r>
      <w:r>
        <w:rPr>
          <w:rFonts w:hint="eastAsia" w:ascii="Times New Roman" w:hAnsi="Times New Roman"/>
        </w:rPr>
        <w:t xml:space="preserve"> 监督检查</w:t>
      </w:r>
    </w:p>
    <w:p>
      <w:pPr>
        <w:spacing w:line="240" w:lineRule="auto"/>
      </w:pPr>
      <w:r>
        <w:rPr>
          <w:rFonts w:hint="eastAsia" w:ascii="黑体" w:hAnsi="黑体" w:eastAsia="黑体" w:cs="黑体"/>
          <w:kern w:val="0"/>
          <w:szCs w:val="20"/>
        </w:rPr>
        <w:t>6.5.1.1</w:t>
      </w:r>
      <w:r>
        <w:rPr>
          <w:rFonts w:hint="eastAsia" w:ascii="Times New Roman" w:hAnsi="Times New Roman"/>
        </w:rPr>
        <w:t xml:space="preserve">  </w:t>
      </w:r>
      <w:r>
        <w:t>监管人员应对照《重大活动餐饮服务食品安全监督</w:t>
      </w:r>
      <w:r>
        <w:rPr>
          <w:rFonts w:hint="eastAsia"/>
        </w:rPr>
        <w:t>记录</w:t>
      </w:r>
      <w:r>
        <w:t>表》（附录</w:t>
      </w:r>
      <w:r>
        <w:rPr>
          <w:rFonts w:hint="eastAsia"/>
          <w:lang w:val="en-US" w:eastAsia="zh-CN"/>
        </w:rPr>
        <w:t>C</w:t>
      </w:r>
      <w:r>
        <w:t>）实施检查，并做好记录</w:t>
      </w:r>
      <w:r>
        <w:rPr>
          <w:rFonts w:hint="eastAsia"/>
        </w:rPr>
        <w:t>。</w:t>
      </w:r>
    </w:p>
    <w:p>
      <w:pPr>
        <w:spacing w:line="240" w:lineRule="auto"/>
      </w:pPr>
      <w:r>
        <w:rPr>
          <w:rFonts w:hint="eastAsia" w:ascii="黑体" w:hAnsi="黑体" w:eastAsia="黑体" w:cs="黑体"/>
          <w:kern w:val="0"/>
          <w:szCs w:val="20"/>
        </w:rPr>
        <w:t>6.5.1.2</w:t>
      </w:r>
      <w:r>
        <w:rPr>
          <w:rFonts w:hint="eastAsia"/>
        </w:rPr>
        <w:t xml:space="preserve">  </w:t>
      </w:r>
      <w:r>
        <w:t>监管人员对检查中发现的问题，应及时向餐饮服务提供者专职食品安全管理人员或相关负责人指出，并以书面形式提出整改意见，并监督整改</w:t>
      </w:r>
      <w:r>
        <w:rPr>
          <w:rFonts w:hint="eastAsia"/>
        </w:rPr>
        <w:t>。</w:t>
      </w:r>
    </w:p>
    <w:p>
      <w:pPr>
        <w:spacing w:line="240" w:lineRule="auto"/>
      </w:pPr>
      <w:r>
        <w:rPr>
          <w:rFonts w:hint="eastAsia" w:ascii="黑体" w:hAnsi="黑体" w:eastAsia="黑体" w:cs="黑体"/>
          <w:kern w:val="0"/>
          <w:szCs w:val="20"/>
        </w:rPr>
        <w:t>6.5.1.3</w:t>
      </w:r>
      <w:r>
        <w:rPr>
          <w:rFonts w:hint="eastAsia"/>
        </w:rPr>
        <w:t xml:space="preserve">  </w:t>
      </w:r>
      <w:r>
        <w:t>监管人员可利用信息化智慧管理系统、阳光厨房视频监控等多种监管方式，对重大活动期间餐饮服务提供者进行在线监督、信息采集、远程指挥等。</w:t>
      </w:r>
    </w:p>
    <w:p>
      <w:pPr>
        <w:spacing w:line="240" w:lineRule="auto"/>
      </w:pPr>
      <w:r>
        <w:rPr>
          <w:rFonts w:hint="eastAsia" w:ascii="黑体" w:hAnsi="黑体" w:eastAsia="黑体" w:cs="黑体"/>
          <w:kern w:val="0"/>
          <w:szCs w:val="20"/>
        </w:rPr>
        <w:t>6.5.1.4</w:t>
      </w:r>
      <w:r>
        <w:rPr>
          <w:rFonts w:hint="eastAsia"/>
        </w:rPr>
        <w:t xml:space="preserve">  </w:t>
      </w:r>
      <w:r>
        <w:t>重大活动期间，驻点监管人员应向驻点医疗保障组了解每日就诊情况，如有异常，应核实情况并及时上报。</w:t>
      </w:r>
    </w:p>
    <w:p>
      <w:pPr>
        <w:spacing w:line="240" w:lineRule="auto"/>
        <w:rPr>
          <w:rFonts w:ascii="黑体" w:hAnsi="黑体" w:eastAsia="黑体" w:cs="黑体"/>
          <w:kern w:val="0"/>
          <w:szCs w:val="20"/>
        </w:rPr>
      </w:pPr>
      <w:r>
        <w:rPr>
          <w:rFonts w:hint="eastAsia" w:ascii="黑体" w:hAnsi="黑体" w:eastAsia="黑体" w:cs="黑体"/>
          <w:kern w:val="0"/>
          <w:szCs w:val="20"/>
        </w:rPr>
        <w:t xml:space="preserve">6.5.2 </w:t>
      </w:r>
      <w:r>
        <w:rPr>
          <w:rFonts w:hint="eastAsia" w:ascii="黑体" w:hAnsi="黑体" w:eastAsia="黑体" w:cs="黑体"/>
          <w:kern w:val="0"/>
          <w:szCs w:val="20"/>
          <w:lang w:val="en-US" w:eastAsia="zh-CN"/>
        </w:rPr>
        <w:t xml:space="preserve"> </w:t>
      </w:r>
      <w:r>
        <w:rPr>
          <w:rFonts w:hint="eastAsia" w:ascii="黑体" w:hAnsi="黑体" w:eastAsia="黑体" w:cs="黑体"/>
          <w:kern w:val="0"/>
          <w:szCs w:val="20"/>
        </w:rPr>
        <w:t>菜品确认</w:t>
      </w:r>
    </w:p>
    <w:p>
      <w:pPr>
        <w:spacing w:line="240" w:lineRule="auto"/>
        <w:ind w:firstLine="420" w:firstLineChars="200"/>
        <w:rPr>
          <w:rFonts w:ascii="Times New Roman" w:hAnsi="Times New Roman"/>
        </w:rPr>
      </w:pPr>
      <w:r>
        <w:t>监管人员应在供餐时对照当餐次菜谱核对实际供应菜品。</w:t>
      </w:r>
      <w:r>
        <w:rPr>
          <w:rFonts w:hint="eastAsia"/>
        </w:rPr>
        <w:t>菜品审核完毕，严禁</w:t>
      </w:r>
      <w:r>
        <w:t>未经审核而</w:t>
      </w:r>
      <w:r>
        <w:rPr>
          <w:rFonts w:hint="eastAsia"/>
          <w:lang w:val="en-US" w:eastAsia="zh-CN"/>
        </w:rPr>
        <w:t>私自</w:t>
      </w:r>
      <w:r>
        <w:t>调整菜品</w:t>
      </w:r>
      <w:r>
        <w:rPr>
          <w:rFonts w:hint="eastAsia"/>
        </w:rPr>
        <w:t>；菜品原料</w:t>
      </w:r>
      <w:r>
        <w:rPr>
          <w:rFonts w:hint="eastAsia"/>
          <w:lang w:val="en-US" w:eastAsia="zh-CN"/>
        </w:rPr>
        <w:t>快检</w:t>
      </w:r>
      <w:r>
        <w:rPr>
          <w:rFonts w:hint="eastAsia"/>
        </w:rPr>
        <w:t>不合格的应要求餐饮服务提供者立即停止供应，并做好书面记录备查。</w:t>
      </w:r>
    </w:p>
    <w:p>
      <w:pPr>
        <w:spacing w:line="240" w:lineRule="auto"/>
        <w:rPr>
          <w:rFonts w:ascii="黑体" w:hAnsi="黑体" w:eastAsia="黑体" w:cs="黑体"/>
          <w:kern w:val="0"/>
          <w:szCs w:val="20"/>
        </w:rPr>
      </w:pPr>
      <w:r>
        <w:rPr>
          <w:rFonts w:hint="eastAsia" w:ascii="黑体" w:hAnsi="黑体" w:eastAsia="黑体" w:cs="黑体"/>
          <w:kern w:val="0"/>
          <w:szCs w:val="20"/>
        </w:rPr>
        <w:t>6.5.3  快速检测</w:t>
      </w:r>
    </w:p>
    <w:p>
      <w:pPr>
        <w:spacing w:line="240" w:lineRule="auto"/>
        <w:ind w:firstLine="420" w:firstLineChars="200"/>
        <w:rPr>
          <w:rFonts w:ascii="Times New Roman" w:hAnsi="Times New Roman"/>
        </w:rPr>
      </w:pPr>
      <w:r>
        <w:t>监管人员可以采用快速检测方法对农（兽）药残留、</w:t>
      </w:r>
      <w:r>
        <w:rPr>
          <w:rFonts w:hint="eastAsia"/>
        </w:rPr>
        <w:t>餐饮</w:t>
      </w:r>
      <w:r>
        <w:t>具洁净度、食品中心温度等项目进行检测。快速检测记录参见附录</w:t>
      </w:r>
      <w:r>
        <w:rPr>
          <w:rFonts w:hint="eastAsia"/>
        </w:rPr>
        <w:t>A。</w:t>
      </w:r>
      <w:r>
        <w:rPr>
          <w:rFonts w:hint="eastAsia" w:ascii="Times New Roman" w:hAnsi="Times New Roman"/>
        </w:rPr>
        <w:t>推荐检测项目参见附录B。</w:t>
      </w:r>
    </w:p>
    <w:p>
      <w:pPr>
        <w:spacing w:line="240" w:lineRule="auto"/>
        <w:rPr>
          <w:rFonts w:ascii="黑体" w:hAnsi="黑体" w:eastAsia="黑体" w:cs="黑体"/>
          <w:kern w:val="0"/>
          <w:szCs w:val="20"/>
        </w:rPr>
      </w:pPr>
      <w:r>
        <w:rPr>
          <w:rFonts w:hint="eastAsia" w:ascii="黑体" w:hAnsi="黑体" w:eastAsia="黑体" w:cs="黑体"/>
          <w:kern w:val="0"/>
          <w:szCs w:val="20"/>
        </w:rPr>
        <w:t>6.5.4  信息记录</w:t>
      </w:r>
    </w:p>
    <w:p>
      <w:pPr>
        <w:spacing w:line="240" w:lineRule="auto"/>
        <w:ind w:firstLine="420" w:firstLineChars="200"/>
      </w:pPr>
      <w:r>
        <w:t>监管人员每日应汇总当日《重大活动餐饮服务食品安全监督记录</w:t>
      </w:r>
      <w:r>
        <w:rPr>
          <w:rFonts w:hint="eastAsia"/>
        </w:rPr>
        <w:t>表</w:t>
      </w:r>
      <w:r>
        <w:t>》、菜品核对记录（附当日菜谱）、快速检测记录、留样记录等监管材料并填写工作日志</w:t>
      </w:r>
      <w:r>
        <w:rPr>
          <w:rFonts w:hint="eastAsia"/>
        </w:rPr>
        <w:t>。</w:t>
      </w:r>
    </w:p>
    <w:p>
      <w:pPr>
        <w:spacing w:line="240" w:lineRule="auto"/>
        <w:rPr>
          <w:rFonts w:ascii="黑体" w:hAnsi="黑体" w:eastAsia="黑体" w:cs="黑体"/>
          <w:kern w:val="0"/>
          <w:szCs w:val="20"/>
        </w:rPr>
      </w:pPr>
      <w:r>
        <w:rPr>
          <w:rFonts w:hint="eastAsia" w:ascii="黑体" w:hAnsi="黑体" w:eastAsia="黑体" w:cs="黑体"/>
          <w:kern w:val="0"/>
          <w:szCs w:val="20"/>
        </w:rPr>
        <w:t>6.5.5 信息报告</w:t>
      </w:r>
    </w:p>
    <w:p>
      <w:pPr>
        <w:spacing w:line="240" w:lineRule="auto"/>
        <w:ind w:firstLine="420" w:firstLineChars="200"/>
        <w:rPr>
          <w:rFonts w:ascii="Times New Roman" w:hAnsi="Times New Roman"/>
        </w:rPr>
      </w:pPr>
      <w:r>
        <w:t>监管人员应在每日监督任务结束后向重大活动驻点指挥部或本部门相关负责人报告。</w:t>
      </w:r>
    </w:p>
    <w:p>
      <w:pPr>
        <w:pStyle w:val="107"/>
        <w:spacing w:before="312" w:after="312"/>
        <w:rPr>
          <w:rFonts w:ascii="Times New Roman"/>
          <w:szCs w:val="21"/>
        </w:rPr>
      </w:pPr>
      <w:bookmarkStart w:id="70" w:name="_Toc105509183"/>
      <w:r>
        <w:rPr>
          <w:rFonts w:hint="eastAsia" w:ascii="Times New Roman"/>
          <w:szCs w:val="21"/>
        </w:rPr>
        <w:t>应急处置</w:t>
      </w:r>
      <w:bookmarkEnd w:id="70"/>
    </w:p>
    <w:p>
      <w:pPr>
        <w:spacing w:line="240" w:lineRule="auto"/>
      </w:pPr>
      <w:r>
        <w:rPr>
          <w:rFonts w:hint="eastAsia" w:ascii="黑体" w:hAnsi="黑体" w:eastAsia="黑体" w:cs="黑体"/>
          <w:kern w:val="0"/>
          <w:szCs w:val="20"/>
        </w:rPr>
        <w:t>7.1</w:t>
      </w:r>
      <w:r>
        <w:rPr>
          <w:rFonts w:hint="eastAsia"/>
        </w:rPr>
        <w:t xml:space="preserve">  为有效防控重大活动期间餐饮服务食品安全事故的发生，坚持预防为主的原则，加强食物中毒事故的应急管理。</w:t>
      </w:r>
    </w:p>
    <w:p>
      <w:pPr>
        <w:spacing w:line="240" w:lineRule="auto"/>
      </w:pPr>
      <w:r>
        <w:rPr>
          <w:rFonts w:hint="eastAsia" w:ascii="黑体" w:hAnsi="黑体" w:eastAsia="黑体" w:cs="黑体"/>
          <w:kern w:val="0"/>
          <w:szCs w:val="20"/>
        </w:rPr>
        <w:t xml:space="preserve">7.2 </w:t>
      </w:r>
      <w:r>
        <w:rPr>
          <w:rFonts w:hint="eastAsia"/>
        </w:rPr>
        <w:t xml:space="preserve"> 餐饮服务提供者应当按照《重大活动餐饮服务食品安全监督管理规范》要求制定重大活动餐饮服务食品安全事故应急处置方案，并将方案及时报送餐饮服务食品安全监管部门和主办单位。</w:t>
      </w:r>
    </w:p>
    <w:p>
      <w:pPr>
        <w:spacing w:line="240" w:lineRule="auto"/>
      </w:pPr>
      <w:r>
        <w:rPr>
          <w:rFonts w:hint="eastAsia" w:ascii="黑体" w:hAnsi="黑体" w:eastAsia="黑体" w:cs="黑体"/>
          <w:kern w:val="0"/>
          <w:szCs w:val="20"/>
        </w:rPr>
        <w:t>7.3</w:t>
      </w:r>
      <w:r>
        <w:rPr>
          <w:rFonts w:hint="eastAsia"/>
        </w:rPr>
        <w:t xml:space="preserve">  餐饮服务食品安全监管部门应按照有关要求，做好重大活动餐饮服务食品安全事故应急准备工作。</w:t>
      </w:r>
    </w:p>
    <w:p>
      <w:pPr>
        <w:spacing w:line="240" w:lineRule="auto"/>
      </w:pPr>
      <w:r>
        <w:rPr>
          <w:rFonts w:hint="eastAsia" w:ascii="黑体" w:hAnsi="黑体" w:eastAsia="黑体" w:cs="黑体"/>
          <w:kern w:val="0"/>
          <w:szCs w:val="20"/>
        </w:rPr>
        <w:t>7.4</w:t>
      </w:r>
      <w:r>
        <w:rPr>
          <w:rFonts w:hint="eastAsia"/>
        </w:rPr>
        <w:t xml:space="preserve">  监督人员接到疑似食物中毒报告后，应当立即向餐饮服务食品安全监管部门报告，并赶赴事故现场，立即封存可能导致</w:t>
      </w:r>
      <w:r>
        <w:rPr>
          <w:rFonts w:hint="eastAsia"/>
          <w:lang w:val="en-US" w:eastAsia="zh-CN"/>
        </w:rPr>
        <w:t>食物中毒</w:t>
      </w:r>
      <w:r>
        <w:rPr>
          <w:rFonts w:hint="eastAsia"/>
        </w:rPr>
        <w:t>的食品及其原料、工具及用具、设备设施和现场，协助、配合开展食品安全事故调查。</w:t>
      </w:r>
    </w:p>
    <w:p>
      <w:pPr>
        <w:spacing w:line="240" w:lineRule="auto"/>
      </w:pPr>
      <w:r>
        <w:rPr>
          <w:rFonts w:hint="eastAsia" w:ascii="黑体" w:hAnsi="黑体" w:eastAsia="黑体" w:cs="黑体"/>
          <w:kern w:val="0"/>
          <w:szCs w:val="20"/>
        </w:rPr>
        <w:t xml:space="preserve">7.5  </w:t>
      </w:r>
      <w:r>
        <w:rPr>
          <w:rFonts w:hint="eastAsia"/>
        </w:rPr>
        <w:t>餐饮服务食品安全监管部门接到事故报告后，经核定属于餐饮服务环节食品安全事故的，应按照职责权限启动相应级别的餐饮服务食品安全事故应急预案，并通报有关部门。</w:t>
      </w:r>
    </w:p>
    <w:p>
      <w:pPr>
        <w:spacing w:line="240" w:lineRule="auto"/>
      </w:pPr>
      <w:r>
        <w:rPr>
          <w:rFonts w:hint="eastAsia" w:ascii="黑体" w:hAnsi="黑体" w:eastAsia="黑体" w:cs="黑体"/>
          <w:kern w:val="0"/>
          <w:szCs w:val="20"/>
        </w:rPr>
        <w:t>7.6</w:t>
      </w:r>
      <w:r>
        <w:rPr>
          <w:rFonts w:hint="eastAsia"/>
        </w:rPr>
        <w:t xml:space="preserve">  餐饮服务食品安全监管部门应将餐饮服务食品安全事故调查、处置等相关信息记入餐饮服务食品安全信用档案。</w:t>
      </w:r>
    </w:p>
    <w:p>
      <w:pPr>
        <w:pStyle w:val="107"/>
        <w:spacing w:before="312" w:after="312"/>
        <w:rPr>
          <w:rFonts w:ascii="Times New Roman"/>
          <w:szCs w:val="21"/>
        </w:rPr>
      </w:pPr>
      <w:bookmarkStart w:id="71" w:name="_Toc105509184"/>
      <w:r>
        <w:rPr>
          <w:rFonts w:hint="eastAsia" w:ascii="Times New Roman"/>
          <w:szCs w:val="21"/>
        </w:rPr>
        <w:t>事后总结</w:t>
      </w:r>
      <w:bookmarkEnd w:id="71"/>
    </w:p>
    <w:p>
      <w:pPr>
        <w:spacing w:line="240" w:lineRule="auto"/>
        <w:ind w:firstLine="420" w:firstLineChars="200"/>
      </w:pPr>
      <w:r>
        <w:rPr>
          <w:rFonts w:hint="eastAsia"/>
        </w:rPr>
        <w:t>监管部门应在重大活动结束后十个工作日内对当次活动的餐饮服务食品安全监管工作做出总结，将相关监督资料归档保存。</w:t>
      </w:r>
    </w:p>
    <w:bookmarkEnd w:id="23"/>
    <w:p>
      <w:pPr>
        <w:spacing w:line="240" w:lineRule="auto"/>
        <w:rPr>
          <w:rFonts w:ascii="Times New Roman" w:hAnsi="Times New Roman"/>
        </w:rPr>
      </w:pPr>
    </w:p>
    <w:p>
      <w:pPr>
        <w:pStyle w:val="107"/>
        <w:numPr>
          <w:ilvl w:val="0"/>
          <w:numId w:val="0"/>
        </w:numPr>
        <w:spacing w:before="312" w:after="312"/>
        <w:jc w:val="center"/>
      </w:pPr>
      <w:bookmarkStart w:id="72" w:name="_Toc101271015"/>
      <w:bookmarkStart w:id="73" w:name="_Toc100833630"/>
      <w:bookmarkStart w:id="74" w:name="_Toc100219994"/>
      <w:bookmarkStart w:id="75" w:name="_Toc100222655"/>
      <w:bookmarkStart w:id="76" w:name="_Toc100219959"/>
      <w:bookmarkStart w:id="77" w:name="_Toc100220009"/>
      <w:bookmarkStart w:id="78" w:name="_Toc101208155"/>
      <w:bookmarkStart w:id="79" w:name="_Toc100653343"/>
      <w:bookmarkStart w:id="80" w:name="_Toc105509185"/>
      <w:bookmarkStart w:id="81" w:name="_Toc101208152"/>
      <w:bookmarkStart w:id="82" w:name="_Toc101271012"/>
    </w:p>
    <w:p/>
    <w:p>
      <w:pPr>
        <w:pStyle w:val="107"/>
        <w:numPr>
          <w:ilvl w:val="0"/>
          <w:numId w:val="0"/>
        </w:numPr>
        <w:spacing w:before="312" w:after="312"/>
        <w:jc w:val="center"/>
        <w:rPr>
          <w:rFonts w:ascii="Times New Roman"/>
        </w:rPr>
      </w:pPr>
      <w:r>
        <w:rPr>
          <w:rFonts w:hint="eastAsia"/>
        </w:rPr>
        <w:t>附  录 A</w:t>
      </w:r>
      <w:r>
        <w:br w:type="textWrapping"/>
      </w:r>
      <w:r>
        <w:t>（</w:t>
      </w:r>
      <w:r>
        <w:rPr>
          <w:rFonts w:hint="eastAsia"/>
        </w:rPr>
        <w:t>资料</w:t>
      </w:r>
      <w:r>
        <w:t>性）</w:t>
      </w:r>
      <w:r>
        <w:br w:type="textWrapping"/>
      </w:r>
      <w:r>
        <w:rPr>
          <w:rFonts w:hint="eastAsia"/>
        </w:rPr>
        <w:t>重大活动餐饮服务食品安全快速检测记录</w:t>
      </w:r>
      <w:r>
        <w:t>示例</w:t>
      </w:r>
      <w:bookmarkEnd w:id="72"/>
      <w:bookmarkEnd w:id="73"/>
      <w:bookmarkEnd w:id="74"/>
      <w:bookmarkEnd w:id="75"/>
      <w:bookmarkEnd w:id="76"/>
      <w:bookmarkEnd w:id="77"/>
      <w:bookmarkEnd w:id="78"/>
      <w:bookmarkEnd w:id="79"/>
      <w:bookmarkEnd w:id="80"/>
    </w:p>
    <w:p>
      <w:pPr>
        <w:widowControl/>
        <w:adjustRightInd/>
        <w:spacing w:line="240" w:lineRule="auto"/>
        <w:ind w:left="363"/>
        <w:rPr>
          <w:rFonts w:ascii="宋体" w:hAnsi="Times New Roman"/>
          <w:kern w:val="0"/>
          <w:sz w:val="18"/>
          <w:szCs w:val="18"/>
        </w:rPr>
      </w:pPr>
      <w:r>
        <w:rPr>
          <w:rFonts w:hint="eastAsia" w:ascii="宋体" w:hAnsi="Times New Roman"/>
          <w:kern w:val="0"/>
          <w:sz w:val="18"/>
          <w:szCs w:val="18"/>
        </w:rPr>
        <w:t>下面给出了</w:t>
      </w:r>
      <w:r>
        <w:rPr>
          <w:rFonts w:ascii="宋体" w:hAnsi="Times New Roman"/>
          <w:kern w:val="0"/>
          <w:sz w:val="18"/>
          <w:szCs w:val="18"/>
        </w:rPr>
        <w:t>食品安全快速检测原始记录</w:t>
      </w:r>
      <w:r>
        <w:rPr>
          <w:rFonts w:hint="eastAsia" w:ascii="宋体" w:hAnsi="Times New Roman"/>
          <w:kern w:val="0"/>
          <w:sz w:val="18"/>
          <w:szCs w:val="18"/>
        </w:rPr>
        <w:t>的示例。</w:t>
      </w:r>
    </w:p>
    <w:p>
      <w:pPr>
        <w:widowControl/>
        <w:adjustRightInd/>
        <w:spacing w:line="240" w:lineRule="auto"/>
        <w:ind w:left="363"/>
        <w:jc w:val="center"/>
        <w:rPr>
          <w:rFonts w:ascii="宋体" w:hAnsi="宋体"/>
          <w:kern w:val="0"/>
          <w:sz w:val="18"/>
          <w:szCs w:val="18"/>
        </w:rPr>
      </w:pPr>
      <w:r>
        <w:rPr>
          <w:rFonts w:hint="eastAsia" w:ascii="宋体" w:hAnsi="宋体"/>
          <w:kern w:val="0"/>
          <w:sz w:val="18"/>
          <w:szCs w:val="18"/>
        </w:rPr>
        <w:t>重大活动餐饮服务食品安全快速检测记</w:t>
      </w:r>
      <w:r>
        <w:rPr>
          <w:rFonts w:ascii="宋体" w:hAnsi="宋体"/>
          <w:kern w:val="0"/>
          <w:sz w:val="18"/>
          <w:szCs w:val="18"/>
        </w:rPr>
        <w:t>录</w:t>
      </w:r>
    </w:p>
    <w:p>
      <w:pPr>
        <w:widowControl/>
        <w:snapToGrid w:val="0"/>
        <w:spacing w:line="240" w:lineRule="auto"/>
        <w:jc w:val="left"/>
        <w:rPr>
          <w:rFonts w:ascii="宋体" w:hAnsi="宋体"/>
          <w:kern w:val="0"/>
          <w:sz w:val="18"/>
          <w:szCs w:val="18"/>
          <w:u w:val="single"/>
        </w:rPr>
      </w:pPr>
      <w:r>
        <w:rPr>
          <w:rFonts w:hint="eastAsia" w:ascii="宋体" w:hAnsi="宋体"/>
          <w:kern w:val="0"/>
          <w:sz w:val="18"/>
          <w:szCs w:val="18"/>
        </w:rPr>
        <w:t>接待单位</w:t>
      </w:r>
      <w:r>
        <w:rPr>
          <w:rFonts w:ascii="宋体" w:hAnsi="宋体"/>
          <w:kern w:val="0"/>
          <w:sz w:val="18"/>
          <w:szCs w:val="18"/>
        </w:rPr>
        <w:t>：</w:t>
      </w:r>
      <w:r>
        <w:rPr>
          <w:rFonts w:ascii="宋体" w:hAnsi="宋体"/>
          <w:kern w:val="0"/>
          <w:sz w:val="18"/>
          <w:szCs w:val="18"/>
          <w:u w:val="single"/>
        </w:rPr>
        <w:t xml:space="preserve">          </w:t>
      </w:r>
      <w:r>
        <w:rPr>
          <w:rFonts w:hint="eastAsia" w:ascii="宋体" w:hAnsi="宋体"/>
          <w:kern w:val="0"/>
          <w:sz w:val="18"/>
          <w:szCs w:val="18"/>
          <w:u w:val="single"/>
        </w:rPr>
        <w:t xml:space="preserve">                           </w:t>
      </w:r>
      <w:r>
        <w:rPr>
          <w:rFonts w:ascii="宋体" w:hAnsi="宋体"/>
          <w:kern w:val="0"/>
          <w:sz w:val="18"/>
          <w:szCs w:val="18"/>
          <w:u w:val="single"/>
        </w:rPr>
        <w:t xml:space="preserve">   </w:t>
      </w:r>
    </w:p>
    <w:p>
      <w:pPr>
        <w:widowControl/>
        <w:snapToGrid w:val="0"/>
        <w:spacing w:line="240" w:lineRule="auto"/>
        <w:jc w:val="left"/>
        <w:rPr>
          <w:rFonts w:ascii="宋体" w:hAnsi="宋体"/>
          <w:kern w:val="0"/>
          <w:sz w:val="18"/>
          <w:szCs w:val="18"/>
          <w:u w:val="single"/>
        </w:rPr>
      </w:pPr>
      <w:r>
        <w:rPr>
          <w:rFonts w:ascii="宋体" w:hAnsi="宋体"/>
          <w:kern w:val="0"/>
          <w:sz w:val="18"/>
          <w:szCs w:val="18"/>
        </w:rPr>
        <w:t>采样时间：</w:t>
      </w:r>
      <w:r>
        <w:rPr>
          <w:rFonts w:ascii="宋体" w:hAnsi="宋体"/>
          <w:kern w:val="0"/>
          <w:sz w:val="18"/>
          <w:szCs w:val="18"/>
          <w:u w:val="single"/>
        </w:rPr>
        <w:t xml:space="preserve">                   </w:t>
      </w:r>
      <w:r>
        <w:rPr>
          <w:rFonts w:hint="eastAsia" w:ascii="宋体" w:hAnsi="宋体"/>
          <w:kern w:val="0"/>
          <w:sz w:val="18"/>
          <w:szCs w:val="18"/>
          <w:u w:val="single"/>
        </w:rPr>
        <w:t xml:space="preserve">         </w:t>
      </w:r>
      <w:r>
        <w:rPr>
          <w:rFonts w:ascii="宋体" w:hAnsi="宋体"/>
          <w:kern w:val="0"/>
          <w:sz w:val="18"/>
          <w:szCs w:val="18"/>
          <w:u w:val="single"/>
        </w:rPr>
        <w:t xml:space="preserve">      </w:t>
      </w:r>
      <w:r>
        <w:rPr>
          <w:rFonts w:hint="eastAsia" w:ascii="宋体" w:hAnsi="宋体"/>
          <w:kern w:val="0"/>
          <w:sz w:val="18"/>
          <w:szCs w:val="18"/>
          <w:u w:val="single"/>
        </w:rPr>
        <w:t xml:space="preserve"> </w:t>
      </w:r>
      <w:r>
        <w:rPr>
          <w:rFonts w:ascii="宋体" w:hAnsi="宋体"/>
          <w:kern w:val="0"/>
          <w:sz w:val="18"/>
          <w:szCs w:val="18"/>
          <w:u w:val="single"/>
        </w:rPr>
        <w:t xml:space="preserve">     </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2"/>
        <w:gridCol w:w="2392"/>
        <w:gridCol w:w="2393"/>
        <w:gridCol w:w="2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vAlign w:val="center"/>
          </w:tcPr>
          <w:p>
            <w:pPr>
              <w:widowControl/>
              <w:wordWrap w:val="0"/>
              <w:spacing w:before="100" w:beforeAutospacing="1" w:after="100" w:afterAutospacing="1" w:line="375" w:lineRule="atLeast"/>
              <w:ind w:firstLine="480"/>
              <w:jc w:val="left"/>
              <w:rPr>
                <w:rFonts w:ascii="宋体" w:hAnsi="宋体" w:cs="宋体"/>
                <w:kern w:val="0"/>
                <w:sz w:val="18"/>
                <w:szCs w:val="18"/>
              </w:rPr>
            </w:pPr>
            <w:r>
              <w:rPr>
                <w:rFonts w:ascii="宋体" w:hAnsi="宋体" w:cs="宋体"/>
                <w:kern w:val="0"/>
                <w:sz w:val="18"/>
                <w:szCs w:val="18"/>
              </w:rPr>
              <w:t>检测品种</w:t>
            </w:r>
          </w:p>
        </w:tc>
        <w:tc>
          <w:tcPr>
            <w:tcW w:w="2392" w:type="dxa"/>
            <w:vAlign w:val="center"/>
          </w:tcPr>
          <w:p>
            <w:pPr>
              <w:widowControl/>
              <w:wordWrap w:val="0"/>
              <w:spacing w:before="100" w:beforeAutospacing="1" w:after="100" w:afterAutospacing="1" w:line="240" w:lineRule="auto"/>
              <w:ind w:firstLine="480"/>
              <w:jc w:val="left"/>
              <w:rPr>
                <w:rFonts w:ascii="宋体" w:hAnsi="宋体" w:cs="宋体"/>
                <w:kern w:val="0"/>
                <w:sz w:val="18"/>
                <w:szCs w:val="18"/>
              </w:rPr>
            </w:pPr>
            <w:r>
              <w:rPr>
                <w:rFonts w:ascii="宋体" w:hAnsi="宋体" w:cs="宋体"/>
                <w:kern w:val="0"/>
                <w:sz w:val="18"/>
                <w:szCs w:val="18"/>
              </w:rPr>
              <w:t>检测项目</w:t>
            </w:r>
          </w:p>
        </w:tc>
        <w:tc>
          <w:tcPr>
            <w:tcW w:w="2393" w:type="dxa"/>
            <w:vAlign w:val="center"/>
          </w:tcPr>
          <w:p>
            <w:pPr>
              <w:widowControl/>
              <w:wordWrap w:val="0"/>
              <w:spacing w:before="100" w:beforeAutospacing="1" w:after="100" w:afterAutospacing="1" w:line="240" w:lineRule="auto"/>
              <w:ind w:firstLine="480"/>
              <w:jc w:val="left"/>
              <w:rPr>
                <w:rFonts w:ascii="宋体" w:hAnsi="宋体" w:cs="宋体"/>
                <w:kern w:val="0"/>
                <w:sz w:val="18"/>
                <w:szCs w:val="18"/>
              </w:rPr>
            </w:pPr>
            <w:r>
              <w:rPr>
                <w:rFonts w:ascii="宋体" w:hAnsi="宋体" w:cs="宋体"/>
                <w:kern w:val="0"/>
                <w:sz w:val="18"/>
                <w:szCs w:val="18"/>
              </w:rPr>
              <w:t>检测结果</w:t>
            </w:r>
          </w:p>
        </w:tc>
        <w:tc>
          <w:tcPr>
            <w:tcW w:w="2393" w:type="dxa"/>
            <w:vAlign w:val="center"/>
          </w:tcPr>
          <w:p>
            <w:pPr>
              <w:widowControl/>
              <w:wordWrap w:val="0"/>
              <w:spacing w:before="100" w:beforeAutospacing="1" w:after="100" w:afterAutospacing="1" w:line="375" w:lineRule="atLeast"/>
              <w:ind w:firstLine="480"/>
              <w:jc w:val="left"/>
              <w:rPr>
                <w:rFonts w:ascii="宋体" w:hAnsi="宋体" w:cs="宋体"/>
                <w:kern w:val="0"/>
                <w:sz w:val="18"/>
                <w:szCs w:val="18"/>
              </w:rPr>
            </w:pPr>
            <w:r>
              <w:rPr>
                <w:rFonts w:ascii="宋体" w:hAnsi="宋体" w:cs="宋体"/>
                <w:kern w:val="0"/>
                <w:sz w:val="18"/>
                <w:szCs w:val="18"/>
              </w:rPr>
              <w:t>阳性结果样品处理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widowControl/>
              <w:snapToGrid w:val="0"/>
              <w:jc w:val="left"/>
              <w:rPr>
                <w:rFonts w:ascii="宋体" w:hAnsi="宋体"/>
                <w:kern w:val="0"/>
                <w:sz w:val="18"/>
                <w:szCs w:val="18"/>
                <w:u w:val="single"/>
              </w:rPr>
            </w:pPr>
          </w:p>
        </w:tc>
        <w:tc>
          <w:tcPr>
            <w:tcW w:w="2392"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jc w:val="left"/>
              <w:rPr>
                <w:rFonts w:ascii="宋体" w:hAnsi="宋体"/>
                <w:kern w:val="0"/>
                <w:sz w:val="18"/>
                <w:szCs w:val="1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widowControl/>
              <w:snapToGrid w:val="0"/>
              <w:jc w:val="left"/>
              <w:rPr>
                <w:rFonts w:ascii="宋体" w:hAnsi="宋体"/>
                <w:kern w:val="0"/>
                <w:sz w:val="18"/>
                <w:szCs w:val="18"/>
                <w:u w:val="single"/>
              </w:rPr>
            </w:pPr>
          </w:p>
        </w:tc>
        <w:tc>
          <w:tcPr>
            <w:tcW w:w="2392"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jc w:val="left"/>
              <w:rPr>
                <w:rFonts w:ascii="宋体" w:hAnsi="宋体"/>
                <w:kern w:val="0"/>
                <w:sz w:val="18"/>
                <w:szCs w:val="1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widowControl/>
              <w:snapToGrid w:val="0"/>
              <w:jc w:val="left"/>
              <w:rPr>
                <w:rFonts w:ascii="宋体" w:hAnsi="宋体"/>
                <w:kern w:val="0"/>
                <w:sz w:val="18"/>
                <w:szCs w:val="18"/>
                <w:u w:val="single"/>
              </w:rPr>
            </w:pPr>
          </w:p>
        </w:tc>
        <w:tc>
          <w:tcPr>
            <w:tcW w:w="2392"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jc w:val="left"/>
              <w:rPr>
                <w:rFonts w:ascii="宋体" w:hAnsi="宋体"/>
                <w:kern w:val="0"/>
                <w:sz w:val="18"/>
                <w:szCs w:val="1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widowControl/>
              <w:snapToGrid w:val="0"/>
              <w:jc w:val="left"/>
              <w:rPr>
                <w:rFonts w:ascii="宋体" w:hAnsi="宋体"/>
                <w:kern w:val="0"/>
                <w:sz w:val="18"/>
                <w:szCs w:val="18"/>
                <w:u w:val="single"/>
              </w:rPr>
            </w:pPr>
          </w:p>
        </w:tc>
        <w:tc>
          <w:tcPr>
            <w:tcW w:w="2392"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jc w:val="left"/>
              <w:rPr>
                <w:rFonts w:ascii="宋体" w:hAnsi="宋体"/>
                <w:kern w:val="0"/>
                <w:sz w:val="18"/>
                <w:szCs w:val="1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widowControl/>
              <w:snapToGrid w:val="0"/>
              <w:jc w:val="left"/>
              <w:rPr>
                <w:rFonts w:ascii="宋体" w:hAnsi="宋体"/>
                <w:kern w:val="0"/>
                <w:sz w:val="18"/>
                <w:szCs w:val="18"/>
                <w:u w:val="single"/>
              </w:rPr>
            </w:pPr>
          </w:p>
        </w:tc>
        <w:tc>
          <w:tcPr>
            <w:tcW w:w="2392"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jc w:val="left"/>
              <w:rPr>
                <w:rFonts w:ascii="宋体" w:hAnsi="宋体"/>
                <w:kern w:val="0"/>
                <w:sz w:val="18"/>
                <w:szCs w:val="1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widowControl/>
              <w:snapToGrid w:val="0"/>
              <w:jc w:val="left"/>
              <w:rPr>
                <w:rFonts w:ascii="宋体" w:hAnsi="宋体"/>
                <w:kern w:val="0"/>
                <w:sz w:val="18"/>
                <w:szCs w:val="18"/>
                <w:u w:val="single"/>
              </w:rPr>
            </w:pPr>
          </w:p>
        </w:tc>
        <w:tc>
          <w:tcPr>
            <w:tcW w:w="2392"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jc w:val="left"/>
              <w:rPr>
                <w:rFonts w:ascii="宋体" w:hAnsi="宋体"/>
                <w:kern w:val="0"/>
                <w:sz w:val="18"/>
                <w:szCs w:val="1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widowControl/>
              <w:snapToGrid w:val="0"/>
              <w:jc w:val="left"/>
              <w:rPr>
                <w:rFonts w:ascii="宋体" w:hAnsi="宋体"/>
                <w:kern w:val="0"/>
                <w:sz w:val="18"/>
                <w:szCs w:val="18"/>
                <w:u w:val="single"/>
              </w:rPr>
            </w:pPr>
          </w:p>
        </w:tc>
        <w:tc>
          <w:tcPr>
            <w:tcW w:w="2392"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jc w:val="left"/>
              <w:rPr>
                <w:rFonts w:ascii="宋体" w:hAnsi="宋体"/>
                <w:kern w:val="0"/>
                <w:sz w:val="18"/>
                <w:szCs w:val="1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widowControl/>
              <w:snapToGrid w:val="0"/>
              <w:jc w:val="left"/>
              <w:rPr>
                <w:rFonts w:ascii="宋体" w:hAnsi="宋体"/>
                <w:kern w:val="0"/>
                <w:sz w:val="18"/>
                <w:szCs w:val="18"/>
                <w:u w:val="single"/>
              </w:rPr>
            </w:pPr>
          </w:p>
        </w:tc>
        <w:tc>
          <w:tcPr>
            <w:tcW w:w="2392"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jc w:val="left"/>
              <w:rPr>
                <w:rFonts w:ascii="宋体" w:hAnsi="宋体"/>
                <w:kern w:val="0"/>
                <w:sz w:val="18"/>
                <w:szCs w:val="1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widowControl/>
              <w:snapToGrid w:val="0"/>
              <w:jc w:val="left"/>
              <w:rPr>
                <w:rFonts w:ascii="宋体" w:hAnsi="宋体"/>
                <w:kern w:val="0"/>
                <w:sz w:val="18"/>
                <w:szCs w:val="18"/>
                <w:u w:val="single"/>
              </w:rPr>
            </w:pPr>
          </w:p>
        </w:tc>
        <w:tc>
          <w:tcPr>
            <w:tcW w:w="2392"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jc w:val="left"/>
              <w:rPr>
                <w:rFonts w:ascii="宋体" w:hAnsi="宋体"/>
                <w:kern w:val="0"/>
                <w:sz w:val="18"/>
                <w:szCs w:val="1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widowControl/>
              <w:snapToGrid w:val="0"/>
              <w:jc w:val="left"/>
              <w:rPr>
                <w:rFonts w:ascii="宋体" w:hAnsi="宋体"/>
                <w:kern w:val="0"/>
                <w:sz w:val="18"/>
                <w:szCs w:val="18"/>
                <w:u w:val="single"/>
              </w:rPr>
            </w:pPr>
          </w:p>
        </w:tc>
        <w:tc>
          <w:tcPr>
            <w:tcW w:w="2392"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jc w:val="left"/>
              <w:rPr>
                <w:rFonts w:ascii="宋体" w:hAnsi="宋体"/>
                <w:kern w:val="0"/>
                <w:sz w:val="18"/>
                <w:szCs w:val="1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widowControl/>
              <w:snapToGrid w:val="0"/>
              <w:jc w:val="left"/>
              <w:rPr>
                <w:rFonts w:ascii="宋体" w:hAnsi="宋体"/>
                <w:kern w:val="0"/>
                <w:sz w:val="18"/>
                <w:szCs w:val="18"/>
                <w:u w:val="single"/>
              </w:rPr>
            </w:pPr>
          </w:p>
        </w:tc>
        <w:tc>
          <w:tcPr>
            <w:tcW w:w="2392"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jc w:val="left"/>
              <w:rPr>
                <w:rFonts w:ascii="宋体" w:hAnsi="宋体"/>
                <w:kern w:val="0"/>
                <w:sz w:val="18"/>
                <w:szCs w:val="1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widowControl/>
              <w:snapToGrid w:val="0"/>
              <w:jc w:val="left"/>
              <w:rPr>
                <w:rFonts w:ascii="宋体" w:hAnsi="宋体"/>
                <w:kern w:val="0"/>
                <w:sz w:val="18"/>
                <w:szCs w:val="18"/>
                <w:u w:val="single"/>
              </w:rPr>
            </w:pPr>
          </w:p>
        </w:tc>
        <w:tc>
          <w:tcPr>
            <w:tcW w:w="2392"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jc w:val="left"/>
              <w:rPr>
                <w:rFonts w:ascii="宋体" w:hAnsi="宋体"/>
                <w:kern w:val="0"/>
                <w:sz w:val="18"/>
                <w:szCs w:val="1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widowControl/>
              <w:snapToGrid w:val="0"/>
              <w:jc w:val="left"/>
              <w:rPr>
                <w:rFonts w:ascii="宋体" w:hAnsi="宋体"/>
                <w:kern w:val="0"/>
                <w:sz w:val="18"/>
                <w:szCs w:val="18"/>
                <w:u w:val="single"/>
              </w:rPr>
            </w:pPr>
          </w:p>
        </w:tc>
        <w:tc>
          <w:tcPr>
            <w:tcW w:w="2392"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jc w:val="left"/>
              <w:rPr>
                <w:rFonts w:ascii="宋体" w:hAnsi="宋体"/>
                <w:kern w:val="0"/>
                <w:sz w:val="18"/>
                <w:szCs w:val="1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widowControl/>
              <w:snapToGrid w:val="0"/>
              <w:jc w:val="left"/>
              <w:rPr>
                <w:rFonts w:ascii="宋体" w:hAnsi="宋体"/>
                <w:kern w:val="0"/>
                <w:sz w:val="18"/>
                <w:szCs w:val="18"/>
                <w:u w:val="single"/>
              </w:rPr>
            </w:pPr>
          </w:p>
        </w:tc>
        <w:tc>
          <w:tcPr>
            <w:tcW w:w="2392"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jc w:val="left"/>
              <w:rPr>
                <w:rFonts w:ascii="宋体" w:hAnsi="宋体"/>
                <w:kern w:val="0"/>
                <w:sz w:val="18"/>
                <w:szCs w:val="1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widowControl/>
              <w:snapToGrid w:val="0"/>
              <w:jc w:val="left"/>
              <w:rPr>
                <w:rFonts w:ascii="宋体" w:hAnsi="宋体"/>
                <w:kern w:val="0"/>
                <w:sz w:val="18"/>
                <w:szCs w:val="18"/>
                <w:u w:val="single"/>
              </w:rPr>
            </w:pPr>
          </w:p>
        </w:tc>
        <w:tc>
          <w:tcPr>
            <w:tcW w:w="2392"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jc w:val="left"/>
              <w:rPr>
                <w:rFonts w:ascii="宋体" w:hAnsi="宋体"/>
                <w:kern w:val="0"/>
                <w:sz w:val="18"/>
                <w:szCs w:val="1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widowControl/>
              <w:snapToGrid w:val="0"/>
              <w:jc w:val="left"/>
              <w:rPr>
                <w:rFonts w:ascii="宋体" w:hAnsi="宋体"/>
                <w:kern w:val="0"/>
                <w:sz w:val="18"/>
                <w:szCs w:val="18"/>
                <w:u w:val="single"/>
              </w:rPr>
            </w:pPr>
          </w:p>
        </w:tc>
        <w:tc>
          <w:tcPr>
            <w:tcW w:w="2392"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jc w:val="left"/>
              <w:rPr>
                <w:rFonts w:ascii="宋体" w:hAnsi="宋体"/>
                <w:kern w:val="0"/>
                <w:sz w:val="18"/>
                <w:szCs w:val="1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widowControl/>
              <w:snapToGrid w:val="0"/>
              <w:jc w:val="left"/>
              <w:rPr>
                <w:rFonts w:ascii="宋体" w:hAnsi="宋体"/>
                <w:kern w:val="0"/>
                <w:sz w:val="18"/>
                <w:szCs w:val="18"/>
                <w:u w:val="single"/>
              </w:rPr>
            </w:pPr>
          </w:p>
        </w:tc>
        <w:tc>
          <w:tcPr>
            <w:tcW w:w="2392"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jc w:val="left"/>
              <w:rPr>
                <w:rFonts w:ascii="宋体" w:hAnsi="宋体"/>
                <w:kern w:val="0"/>
                <w:sz w:val="18"/>
                <w:szCs w:val="1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widowControl/>
              <w:snapToGrid w:val="0"/>
              <w:jc w:val="left"/>
              <w:rPr>
                <w:rFonts w:ascii="宋体" w:hAnsi="宋体"/>
                <w:kern w:val="0"/>
                <w:sz w:val="18"/>
                <w:szCs w:val="18"/>
                <w:u w:val="single"/>
              </w:rPr>
            </w:pPr>
          </w:p>
        </w:tc>
        <w:tc>
          <w:tcPr>
            <w:tcW w:w="2392"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jc w:val="left"/>
              <w:rPr>
                <w:rFonts w:ascii="宋体" w:hAnsi="宋体"/>
                <w:kern w:val="0"/>
                <w:sz w:val="18"/>
                <w:szCs w:val="1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widowControl/>
              <w:snapToGrid w:val="0"/>
              <w:jc w:val="left"/>
              <w:rPr>
                <w:rFonts w:ascii="宋体" w:hAnsi="宋体"/>
                <w:kern w:val="0"/>
                <w:sz w:val="18"/>
                <w:szCs w:val="18"/>
                <w:u w:val="single"/>
              </w:rPr>
            </w:pPr>
          </w:p>
        </w:tc>
        <w:tc>
          <w:tcPr>
            <w:tcW w:w="2392"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jc w:val="left"/>
              <w:rPr>
                <w:rFonts w:ascii="宋体" w:hAnsi="宋体"/>
                <w:kern w:val="0"/>
                <w:sz w:val="18"/>
                <w:szCs w:val="1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widowControl/>
              <w:snapToGrid w:val="0"/>
              <w:jc w:val="left"/>
              <w:rPr>
                <w:rFonts w:ascii="宋体" w:hAnsi="宋体"/>
                <w:kern w:val="0"/>
                <w:sz w:val="18"/>
                <w:szCs w:val="18"/>
                <w:u w:val="single"/>
              </w:rPr>
            </w:pPr>
          </w:p>
        </w:tc>
        <w:tc>
          <w:tcPr>
            <w:tcW w:w="2392"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jc w:val="left"/>
              <w:rPr>
                <w:rFonts w:ascii="宋体" w:hAnsi="宋体"/>
                <w:kern w:val="0"/>
                <w:sz w:val="18"/>
                <w:szCs w:val="1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widowControl/>
              <w:snapToGrid w:val="0"/>
              <w:jc w:val="left"/>
              <w:rPr>
                <w:rFonts w:ascii="宋体" w:hAnsi="宋体"/>
                <w:kern w:val="0"/>
                <w:sz w:val="18"/>
                <w:szCs w:val="18"/>
                <w:u w:val="single"/>
              </w:rPr>
            </w:pPr>
          </w:p>
        </w:tc>
        <w:tc>
          <w:tcPr>
            <w:tcW w:w="2392"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jc w:val="left"/>
              <w:rPr>
                <w:rFonts w:ascii="宋体" w:hAnsi="宋体"/>
                <w:kern w:val="0"/>
                <w:sz w:val="18"/>
                <w:szCs w:val="18"/>
                <w:u w:val="single"/>
              </w:rPr>
            </w:pPr>
          </w:p>
        </w:tc>
      </w:tr>
    </w:tbl>
    <w:p>
      <w:pPr>
        <w:widowControl/>
        <w:snapToGrid w:val="0"/>
        <w:ind w:firstLine="360" w:firstLineChars="200"/>
        <w:jc w:val="left"/>
        <w:rPr>
          <w:rFonts w:ascii="宋体" w:hAnsi="宋体"/>
          <w:kern w:val="0"/>
          <w:sz w:val="18"/>
          <w:szCs w:val="18"/>
        </w:rPr>
      </w:pPr>
      <w:r>
        <w:rPr>
          <w:rFonts w:hint="eastAsia" w:ascii="宋体" w:hAnsi="宋体"/>
          <w:kern w:val="0"/>
          <w:sz w:val="18"/>
          <w:szCs w:val="18"/>
        </w:rPr>
        <w:t>检测</w:t>
      </w:r>
      <w:r>
        <w:rPr>
          <w:rFonts w:ascii="宋体" w:hAnsi="宋体"/>
          <w:kern w:val="0"/>
          <w:sz w:val="18"/>
          <w:szCs w:val="18"/>
        </w:rPr>
        <w:t xml:space="preserve">人员签名：            </w:t>
      </w:r>
      <w:r>
        <w:rPr>
          <w:rFonts w:hint="eastAsia" w:ascii="宋体" w:hAnsi="宋体"/>
          <w:kern w:val="0"/>
          <w:sz w:val="18"/>
          <w:szCs w:val="18"/>
        </w:rPr>
        <w:t xml:space="preserve">     </w:t>
      </w:r>
      <w:r>
        <w:rPr>
          <w:rFonts w:ascii="宋体" w:hAnsi="宋体"/>
          <w:kern w:val="0"/>
          <w:sz w:val="18"/>
          <w:szCs w:val="18"/>
        </w:rPr>
        <w:t xml:space="preserve"> </w:t>
      </w:r>
      <w:r>
        <w:rPr>
          <w:rFonts w:hint="eastAsia" w:ascii="宋体" w:hAnsi="宋体"/>
          <w:kern w:val="0"/>
          <w:sz w:val="18"/>
          <w:szCs w:val="18"/>
        </w:rPr>
        <w:t xml:space="preserve">  </w:t>
      </w:r>
    </w:p>
    <w:p>
      <w:pPr>
        <w:widowControl/>
        <w:snapToGrid w:val="0"/>
        <w:ind w:firstLine="360" w:firstLineChars="200"/>
        <w:jc w:val="left"/>
        <w:rPr>
          <w:rFonts w:ascii="宋体" w:hAnsi="宋体"/>
          <w:spacing w:val="40"/>
          <w:kern w:val="0"/>
          <w:sz w:val="18"/>
          <w:szCs w:val="18"/>
        </w:rPr>
      </w:pPr>
      <w:r>
        <w:rPr>
          <w:rFonts w:ascii="宋体" w:hAnsi="宋体"/>
          <w:kern w:val="0"/>
          <w:sz w:val="18"/>
          <w:szCs w:val="18"/>
        </w:rPr>
        <w:t xml:space="preserve">年    月    日            </w:t>
      </w:r>
      <w:r>
        <w:rPr>
          <w:rFonts w:hint="eastAsia" w:ascii="宋体" w:hAnsi="宋体"/>
          <w:spacing w:val="40"/>
          <w:kern w:val="0"/>
          <w:sz w:val="18"/>
          <w:szCs w:val="18"/>
        </w:rPr>
        <w:t xml:space="preserve">    </w:t>
      </w:r>
    </w:p>
    <w:p>
      <w:pPr>
        <w:widowControl/>
        <w:snapToGrid w:val="0"/>
        <w:ind w:firstLine="520" w:firstLineChars="200"/>
        <w:jc w:val="left"/>
        <w:rPr>
          <w:rFonts w:ascii="宋体" w:hAnsi="宋体"/>
          <w:spacing w:val="40"/>
          <w:kern w:val="0"/>
          <w:sz w:val="18"/>
          <w:szCs w:val="18"/>
        </w:rPr>
      </w:pPr>
    </w:p>
    <w:p>
      <w:pPr>
        <w:widowControl/>
        <w:snapToGrid w:val="0"/>
        <w:ind w:firstLine="520" w:firstLineChars="200"/>
        <w:jc w:val="left"/>
        <w:rPr>
          <w:rFonts w:ascii="宋体" w:hAnsi="宋体"/>
          <w:spacing w:val="40"/>
          <w:kern w:val="0"/>
          <w:sz w:val="18"/>
          <w:szCs w:val="18"/>
        </w:rPr>
      </w:pPr>
    </w:p>
    <w:p>
      <w:pPr>
        <w:widowControl/>
        <w:adjustRightInd/>
        <w:spacing w:before="312" w:beforeLines="100" w:after="312" w:afterLines="100" w:line="240" w:lineRule="auto"/>
        <w:jc w:val="center"/>
        <w:outlineLvl w:val="0"/>
        <w:rPr>
          <w:rFonts w:ascii="黑体" w:hAnsi="Times New Roman" w:eastAsia="黑体"/>
          <w:kern w:val="0"/>
          <w:szCs w:val="20"/>
        </w:rPr>
      </w:pPr>
      <w:bookmarkStart w:id="83" w:name="_Toc105509187"/>
      <w:r>
        <w:rPr>
          <w:rFonts w:hint="eastAsia" w:ascii="黑体" w:hAnsi="Times New Roman" w:eastAsia="黑体"/>
          <w:kern w:val="0"/>
          <w:szCs w:val="20"/>
        </w:rPr>
        <w:t>附  录 B</w:t>
      </w:r>
      <w:r>
        <w:rPr>
          <w:rFonts w:ascii="黑体" w:hAnsi="Times New Roman" w:eastAsia="黑体"/>
          <w:kern w:val="0"/>
          <w:szCs w:val="20"/>
        </w:rPr>
        <w:br w:type="textWrapping"/>
      </w:r>
      <w:r>
        <w:rPr>
          <w:rFonts w:ascii="黑体" w:hAnsi="Times New Roman" w:eastAsia="黑体"/>
          <w:kern w:val="0"/>
          <w:szCs w:val="20"/>
        </w:rPr>
        <w:t>（规范性）</w:t>
      </w:r>
      <w:r>
        <w:rPr>
          <w:rFonts w:ascii="黑体" w:hAnsi="Times New Roman" w:eastAsia="黑体"/>
          <w:kern w:val="0"/>
          <w:szCs w:val="20"/>
        </w:rPr>
        <w:br w:type="textWrapping"/>
      </w:r>
      <w:r>
        <w:rPr>
          <w:rFonts w:hint="eastAsia" w:ascii="黑体" w:hAnsi="Times New Roman" w:eastAsia="黑体"/>
          <w:kern w:val="0"/>
          <w:szCs w:val="20"/>
        </w:rPr>
        <w:t>推荐性重大活动餐饮服务食品安全快速检测项目表</w:t>
      </w:r>
      <w:bookmarkEnd w:id="83"/>
    </w:p>
    <w:p>
      <w:pPr>
        <w:widowControl/>
        <w:numPr>
          <w:ilvl w:val="2"/>
          <w:numId w:val="0"/>
        </w:numPr>
        <w:tabs>
          <w:tab w:val="left" w:pos="360"/>
        </w:tabs>
        <w:wordWrap w:val="0"/>
        <w:overflowPunct w:val="0"/>
        <w:autoSpaceDE w:val="0"/>
        <w:autoSpaceDN w:val="0"/>
        <w:adjustRightInd/>
        <w:spacing w:before="156" w:beforeLines="50" w:after="156" w:afterLines="50" w:line="240" w:lineRule="auto"/>
        <w:ind w:firstLine="420" w:firstLineChars="200"/>
        <w:textAlignment w:val="baseline"/>
        <w:outlineLvl w:val="2"/>
        <w:rPr>
          <w:rFonts w:ascii="Times New Roman" w:hAnsi="Times New Roman"/>
          <w:kern w:val="0"/>
        </w:rPr>
      </w:pPr>
      <w:bookmarkStart w:id="84" w:name="_Toc105509188"/>
      <w:r>
        <w:rPr>
          <w:rFonts w:hint="eastAsia" w:ascii="Times New Roman" w:hAnsi="Times New Roman"/>
          <w:kern w:val="0"/>
        </w:rPr>
        <w:t>推荐相对应的食品快速检测项目，具体检测项目见表B.1。</w:t>
      </w:r>
      <w:bookmarkEnd w:id="84"/>
    </w:p>
    <w:p>
      <w:pPr>
        <w:widowControl/>
        <w:autoSpaceDE w:val="0"/>
        <w:autoSpaceDN w:val="0"/>
        <w:adjustRightInd/>
        <w:spacing w:before="156" w:beforeLines="50" w:after="156" w:afterLines="50" w:line="240" w:lineRule="auto"/>
        <w:jc w:val="center"/>
        <w:rPr>
          <w:rFonts w:ascii="Times New Roman" w:hAnsi="Times New Roman" w:eastAsia="黑体"/>
          <w:kern w:val="0"/>
          <w:szCs w:val="20"/>
        </w:rPr>
      </w:pPr>
      <w:r>
        <w:rPr>
          <w:rFonts w:hint="eastAsia" w:ascii="Times New Roman" w:hAnsi="Times New Roman" w:eastAsia="黑体"/>
          <w:kern w:val="0"/>
          <w:szCs w:val="20"/>
        </w:rPr>
        <w:t>表B.1推荐性重大活动餐饮服务食品安全快速检测项目表</w:t>
      </w:r>
    </w:p>
    <w:tbl>
      <w:tblPr>
        <w:tblStyle w:val="29"/>
        <w:tblW w:w="957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75"/>
        <w:gridCol w:w="3453"/>
        <w:gridCol w:w="4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475" w:type="dxa"/>
            <w:tcBorders>
              <w:top w:val="single" w:color="auto" w:sz="8" w:space="0"/>
              <w:bottom w:val="single" w:color="auto" w:sz="8" w:space="0"/>
            </w:tcBorders>
            <w:shd w:val="clear" w:color="auto" w:fill="auto"/>
            <w:vAlign w:val="center"/>
          </w:tcPr>
          <w:p>
            <w:pPr>
              <w:adjustRightInd/>
              <w:spacing w:line="240" w:lineRule="auto"/>
              <w:jc w:val="center"/>
              <w:rPr>
                <w:rFonts w:ascii="宋体" w:hAnsi="Times New Roman"/>
                <w:bCs/>
                <w:sz w:val="18"/>
                <w:szCs w:val="24"/>
              </w:rPr>
            </w:pPr>
            <w:r>
              <w:rPr>
                <w:rFonts w:hint="eastAsia" w:ascii="宋体" w:hAnsi="Times New Roman"/>
                <w:bCs/>
                <w:sz w:val="18"/>
                <w:szCs w:val="24"/>
              </w:rPr>
              <w:t>项目类别</w:t>
            </w:r>
          </w:p>
        </w:tc>
        <w:tc>
          <w:tcPr>
            <w:tcW w:w="3453" w:type="dxa"/>
            <w:tcBorders>
              <w:top w:val="single" w:color="auto" w:sz="8" w:space="0"/>
              <w:bottom w:val="single" w:color="auto" w:sz="8" w:space="0"/>
            </w:tcBorders>
            <w:shd w:val="clear" w:color="auto" w:fill="auto"/>
            <w:vAlign w:val="center"/>
          </w:tcPr>
          <w:p>
            <w:pPr>
              <w:adjustRightInd/>
              <w:spacing w:line="240" w:lineRule="auto"/>
              <w:jc w:val="center"/>
              <w:rPr>
                <w:rFonts w:ascii="宋体" w:hAnsi="Times New Roman"/>
                <w:bCs/>
                <w:sz w:val="18"/>
                <w:szCs w:val="24"/>
              </w:rPr>
            </w:pPr>
            <w:r>
              <w:rPr>
                <w:rFonts w:hint="eastAsia" w:ascii="宋体" w:hAnsi="Times New Roman"/>
                <w:bCs/>
                <w:sz w:val="18"/>
                <w:szCs w:val="24"/>
              </w:rPr>
              <w:t>检测样本</w:t>
            </w:r>
          </w:p>
        </w:tc>
        <w:tc>
          <w:tcPr>
            <w:tcW w:w="4642" w:type="dxa"/>
            <w:tcBorders>
              <w:top w:val="single" w:color="auto" w:sz="8" w:space="0"/>
              <w:bottom w:val="single" w:color="auto" w:sz="8" w:space="0"/>
            </w:tcBorders>
            <w:shd w:val="clear" w:color="auto" w:fill="auto"/>
            <w:vAlign w:val="center"/>
          </w:tcPr>
          <w:p>
            <w:pPr>
              <w:adjustRightInd/>
              <w:spacing w:line="240" w:lineRule="auto"/>
              <w:jc w:val="center"/>
              <w:rPr>
                <w:rFonts w:ascii="宋体" w:hAnsi="Times New Roman"/>
                <w:bCs/>
                <w:sz w:val="18"/>
                <w:szCs w:val="24"/>
              </w:rPr>
            </w:pPr>
            <w:r>
              <w:rPr>
                <w:rFonts w:hint="eastAsia" w:ascii="宋体" w:hAnsi="Times New Roman"/>
                <w:bCs/>
                <w:sz w:val="18"/>
                <w:szCs w:val="24"/>
              </w:rPr>
              <w:t>检测项目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475" w:type="dxa"/>
            <w:tcBorders>
              <w:top w:val="single" w:color="auto" w:sz="8" w:space="0"/>
            </w:tcBorders>
            <w:shd w:val="clear" w:color="auto" w:fill="auto"/>
            <w:vAlign w:val="center"/>
          </w:tcPr>
          <w:p>
            <w:pPr>
              <w:widowControl/>
              <w:autoSpaceDE w:val="0"/>
              <w:snapToGrid w:val="0"/>
              <w:jc w:val="center"/>
              <w:textAlignment w:val="baseline"/>
              <w:rPr>
                <w:rFonts w:ascii="宋体" w:hAnsi="宋体"/>
                <w:kern w:val="0"/>
                <w:sz w:val="18"/>
                <w:szCs w:val="18"/>
              </w:rPr>
            </w:pPr>
            <w:r>
              <w:rPr>
                <w:rFonts w:hint="eastAsia" w:ascii="宋体" w:hAnsi="宋体"/>
                <w:kern w:val="0"/>
                <w:sz w:val="18"/>
                <w:szCs w:val="18"/>
              </w:rPr>
              <w:t>农药残留</w:t>
            </w:r>
          </w:p>
        </w:tc>
        <w:tc>
          <w:tcPr>
            <w:tcW w:w="3453" w:type="dxa"/>
            <w:tcBorders>
              <w:top w:val="single" w:color="auto" w:sz="8" w:space="0"/>
            </w:tcBorders>
            <w:shd w:val="clear" w:color="auto" w:fill="auto"/>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蔬菜瓜果等</w:t>
            </w:r>
          </w:p>
        </w:tc>
        <w:tc>
          <w:tcPr>
            <w:tcW w:w="4642" w:type="dxa"/>
            <w:tcBorders>
              <w:top w:val="single" w:color="auto" w:sz="8" w:space="0"/>
            </w:tcBorders>
            <w:shd w:val="clear" w:color="auto" w:fill="auto"/>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敌百虫、丙溴磷、灭多威、克百威、敌敌畏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475" w:type="dxa"/>
            <w:tcBorders>
              <w:bottom w:val="single" w:color="auto" w:sz="4" w:space="0"/>
            </w:tcBorders>
            <w:shd w:val="clear" w:color="auto" w:fill="auto"/>
            <w:vAlign w:val="center"/>
          </w:tcPr>
          <w:p>
            <w:pPr>
              <w:widowControl/>
              <w:autoSpaceDE w:val="0"/>
              <w:snapToGrid w:val="0"/>
              <w:jc w:val="center"/>
              <w:textAlignment w:val="baseline"/>
              <w:rPr>
                <w:rFonts w:ascii="宋体" w:hAnsi="宋体"/>
                <w:kern w:val="0"/>
                <w:sz w:val="18"/>
                <w:szCs w:val="18"/>
              </w:rPr>
            </w:pPr>
            <w:r>
              <w:rPr>
                <w:rFonts w:hint="eastAsia" w:ascii="宋体" w:hAnsi="宋体"/>
                <w:kern w:val="0"/>
                <w:sz w:val="18"/>
                <w:szCs w:val="18"/>
              </w:rPr>
              <w:t>兽药残留</w:t>
            </w:r>
          </w:p>
        </w:tc>
        <w:tc>
          <w:tcPr>
            <w:tcW w:w="3453" w:type="dxa"/>
            <w:tcBorders>
              <w:bottom w:val="single" w:color="auto" w:sz="4" w:space="0"/>
            </w:tcBorders>
            <w:shd w:val="clear" w:color="auto" w:fill="auto"/>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lang w:val="en-US" w:eastAsia="zh-CN"/>
              </w:rPr>
              <w:t>禽蛋、</w:t>
            </w:r>
            <w:r>
              <w:rPr>
                <w:rFonts w:hint="eastAsia" w:ascii="宋体" w:hAnsi="宋体"/>
                <w:kern w:val="0"/>
                <w:sz w:val="18"/>
                <w:szCs w:val="18"/>
              </w:rPr>
              <w:t>禽肉、畜肉、水产品及其副产品等</w:t>
            </w:r>
          </w:p>
        </w:tc>
        <w:tc>
          <w:tcPr>
            <w:tcW w:w="4642" w:type="dxa"/>
            <w:tcBorders>
              <w:bottom w:val="single" w:color="auto" w:sz="4" w:space="0"/>
            </w:tcBorders>
            <w:shd w:val="clear" w:color="auto" w:fill="auto"/>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lang w:val="en-US" w:eastAsia="zh-CN"/>
              </w:rPr>
              <w:t>氟苯尼考、</w:t>
            </w:r>
            <w:r>
              <w:rPr>
                <w:rFonts w:hint="eastAsia" w:ascii="宋体" w:hAnsi="宋体"/>
                <w:kern w:val="0"/>
                <w:sz w:val="18"/>
                <w:szCs w:val="18"/>
              </w:rPr>
              <w:t>氯霉素、孔雀石绿、喹诺酮类、硝基呋喃类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475" w:type="dxa"/>
            <w:tcBorders>
              <w:top w:val="single" w:color="auto" w:sz="4" w:space="0"/>
              <w:bottom w:val="single" w:color="auto" w:sz="8" w:space="0"/>
            </w:tcBorders>
            <w:shd w:val="clear" w:color="auto" w:fill="auto"/>
            <w:vAlign w:val="center"/>
          </w:tcPr>
          <w:p>
            <w:pPr>
              <w:widowControl/>
              <w:autoSpaceDE w:val="0"/>
              <w:snapToGrid w:val="0"/>
              <w:jc w:val="center"/>
              <w:textAlignment w:val="baseline"/>
              <w:rPr>
                <w:rFonts w:ascii="宋体" w:hAnsi="宋体"/>
                <w:kern w:val="0"/>
                <w:sz w:val="18"/>
                <w:szCs w:val="18"/>
              </w:rPr>
            </w:pPr>
            <w:r>
              <w:rPr>
                <w:rFonts w:hint="eastAsia" w:ascii="宋体" w:hAnsi="宋体"/>
                <w:kern w:val="0"/>
                <w:sz w:val="18"/>
                <w:szCs w:val="18"/>
              </w:rPr>
              <w:t>瘦肉精</w:t>
            </w:r>
          </w:p>
        </w:tc>
        <w:tc>
          <w:tcPr>
            <w:tcW w:w="3453" w:type="dxa"/>
            <w:tcBorders>
              <w:top w:val="single" w:color="auto" w:sz="4" w:space="0"/>
              <w:bottom w:val="single" w:color="auto" w:sz="8" w:space="0"/>
            </w:tcBorders>
            <w:shd w:val="clear" w:color="auto" w:fill="auto"/>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畜肉及其副产品等</w:t>
            </w:r>
          </w:p>
        </w:tc>
        <w:tc>
          <w:tcPr>
            <w:tcW w:w="4642" w:type="dxa"/>
            <w:tcBorders>
              <w:top w:val="single" w:color="auto" w:sz="4" w:space="0"/>
              <w:bottom w:val="single" w:color="auto" w:sz="8" w:space="0"/>
            </w:tcBorders>
            <w:shd w:val="clear" w:color="auto" w:fill="auto"/>
            <w:vAlign w:val="center"/>
          </w:tcPr>
          <w:p>
            <w:pPr>
              <w:widowControl/>
              <w:autoSpaceDE w:val="0"/>
              <w:snapToGrid w:val="0"/>
              <w:spacing w:line="240" w:lineRule="auto"/>
              <w:jc w:val="center"/>
              <w:textAlignment w:val="baseline"/>
              <w:rPr>
                <w:rFonts w:ascii="宋体" w:hAnsi="宋体"/>
                <w:kern w:val="0"/>
                <w:sz w:val="18"/>
                <w:szCs w:val="18"/>
              </w:rPr>
            </w:pPr>
            <w:r>
              <w:rPr>
                <w:rFonts w:ascii="宋体" w:hAnsi="宋体"/>
                <w:kern w:val="0"/>
                <w:sz w:val="18"/>
                <w:szCs w:val="18"/>
              </w:rPr>
              <w:t>克伦特罗、莱克多巴胺、沙丁胺醇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475" w:type="dxa"/>
            <w:tcBorders>
              <w:top w:val="single" w:color="auto" w:sz="4" w:space="0"/>
              <w:bottom w:val="single" w:color="auto" w:sz="8" w:space="0"/>
            </w:tcBorders>
            <w:shd w:val="clear" w:color="auto" w:fill="auto"/>
            <w:vAlign w:val="center"/>
          </w:tcPr>
          <w:p>
            <w:pPr>
              <w:widowControl/>
              <w:autoSpaceDE w:val="0"/>
              <w:snapToGrid w:val="0"/>
              <w:jc w:val="center"/>
              <w:textAlignment w:val="baseline"/>
              <w:rPr>
                <w:rFonts w:ascii="宋体" w:hAnsi="宋体"/>
                <w:kern w:val="0"/>
                <w:sz w:val="18"/>
                <w:szCs w:val="18"/>
              </w:rPr>
            </w:pPr>
            <w:r>
              <w:rPr>
                <w:rFonts w:hint="eastAsia" w:ascii="宋体" w:hAnsi="宋体"/>
                <w:kern w:val="0"/>
                <w:sz w:val="18"/>
                <w:szCs w:val="18"/>
              </w:rPr>
              <w:t>真菌毒素</w:t>
            </w:r>
          </w:p>
        </w:tc>
        <w:tc>
          <w:tcPr>
            <w:tcW w:w="3453" w:type="dxa"/>
            <w:tcBorders>
              <w:top w:val="single" w:color="auto" w:sz="4" w:space="0"/>
              <w:bottom w:val="single" w:color="auto" w:sz="8" w:space="0"/>
            </w:tcBorders>
            <w:shd w:val="clear" w:color="auto" w:fill="auto"/>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粮食谷物、乳制品等</w:t>
            </w:r>
          </w:p>
        </w:tc>
        <w:tc>
          <w:tcPr>
            <w:tcW w:w="4642" w:type="dxa"/>
            <w:tcBorders>
              <w:top w:val="single" w:color="auto" w:sz="4" w:space="0"/>
              <w:bottom w:val="single" w:color="auto" w:sz="8" w:space="0"/>
            </w:tcBorders>
            <w:shd w:val="clear" w:color="auto" w:fill="auto"/>
            <w:vAlign w:val="center"/>
          </w:tcPr>
          <w:p>
            <w:pPr>
              <w:widowControl/>
              <w:autoSpaceDE w:val="0"/>
              <w:snapToGrid w:val="0"/>
              <w:spacing w:line="240" w:lineRule="auto"/>
              <w:jc w:val="center"/>
              <w:textAlignment w:val="baseline"/>
              <w:rPr>
                <w:rFonts w:ascii="宋体" w:hAnsi="宋体"/>
                <w:kern w:val="0"/>
                <w:sz w:val="18"/>
                <w:szCs w:val="18"/>
              </w:rPr>
            </w:pPr>
            <w:r>
              <w:rPr>
                <w:rFonts w:ascii="宋体" w:hAnsi="宋体"/>
                <w:kern w:val="0"/>
                <w:sz w:val="18"/>
                <w:szCs w:val="18"/>
              </w:rPr>
              <w:t>黄曲霉毒素B1、黄曲霉毒素M1、玉米赤霉烯酮、呕吐毒素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475" w:type="dxa"/>
            <w:tcBorders>
              <w:top w:val="single" w:color="auto" w:sz="4" w:space="0"/>
              <w:bottom w:val="single" w:color="auto" w:sz="8" w:space="0"/>
            </w:tcBorders>
            <w:shd w:val="clear" w:color="auto" w:fill="auto"/>
            <w:vAlign w:val="center"/>
          </w:tcPr>
          <w:p>
            <w:pPr>
              <w:widowControl/>
              <w:autoSpaceDE w:val="0"/>
              <w:snapToGrid w:val="0"/>
              <w:jc w:val="center"/>
              <w:textAlignment w:val="baseline"/>
              <w:rPr>
                <w:rFonts w:ascii="宋体" w:hAnsi="宋体"/>
                <w:kern w:val="0"/>
                <w:sz w:val="18"/>
                <w:szCs w:val="18"/>
              </w:rPr>
            </w:pPr>
            <w:r>
              <w:rPr>
                <w:rFonts w:hint="eastAsia" w:ascii="宋体" w:hAnsi="宋体"/>
                <w:kern w:val="0"/>
                <w:sz w:val="18"/>
                <w:szCs w:val="18"/>
              </w:rPr>
              <w:t>违禁添加物</w:t>
            </w:r>
          </w:p>
        </w:tc>
        <w:tc>
          <w:tcPr>
            <w:tcW w:w="3453" w:type="dxa"/>
            <w:tcBorders>
              <w:top w:val="single" w:color="auto" w:sz="4" w:space="0"/>
              <w:bottom w:val="single" w:color="auto" w:sz="8" w:space="0"/>
            </w:tcBorders>
            <w:shd w:val="clear" w:color="auto" w:fill="auto"/>
            <w:vAlign w:val="center"/>
          </w:tcPr>
          <w:p>
            <w:pPr>
              <w:widowControl/>
              <w:autoSpaceDE w:val="0"/>
              <w:snapToGrid w:val="0"/>
              <w:spacing w:line="240" w:lineRule="auto"/>
              <w:jc w:val="center"/>
              <w:textAlignment w:val="baseline"/>
              <w:rPr>
                <w:rFonts w:ascii="宋体" w:hAnsi="宋体"/>
                <w:kern w:val="0"/>
                <w:sz w:val="18"/>
                <w:szCs w:val="18"/>
              </w:rPr>
            </w:pPr>
            <w:r>
              <w:rPr>
                <w:rFonts w:ascii="宋体" w:hAnsi="宋体"/>
                <w:kern w:val="0"/>
                <w:sz w:val="18"/>
                <w:szCs w:val="18"/>
              </w:rPr>
              <w:t>粮食制品、淀粉及淀粉制品、糕点、豆制品、速冻食品</w:t>
            </w:r>
            <w:r>
              <w:rPr>
                <w:rFonts w:hint="eastAsia" w:ascii="宋体" w:hAnsi="宋体"/>
                <w:kern w:val="0"/>
                <w:sz w:val="18"/>
                <w:szCs w:val="18"/>
              </w:rPr>
              <w:t>、乳制品等</w:t>
            </w:r>
          </w:p>
        </w:tc>
        <w:tc>
          <w:tcPr>
            <w:tcW w:w="4642" w:type="dxa"/>
            <w:tcBorders>
              <w:top w:val="single" w:color="auto" w:sz="4" w:space="0"/>
              <w:bottom w:val="single" w:color="auto" w:sz="8" w:space="0"/>
            </w:tcBorders>
            <w:shd w:val="clear" w:color="auto" w:fill="auto"/>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三聚氰胺、硼酸、甲醛、苏丹红Ⅰ、罗丹明B、吗啡、可待因、甲醇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475" w:type="dxa"/>
            <w:tcBorders>
              <w:top w:val="single" w:color="auto" w:sz="4" w:space="0"/>
              <w:bottom w:val="single" w:color="auto" w:sz="8" w:space="0"/>
            </w:tcBorders>
            <w:shd w:val="clear" w:color="auto" w:fill="auto"/>
            <w:vAlign w:val="center"/>
          </w:tcPr>
          <w:p>
            <w:pPr>
              <w:widowControl/>
              <w:autoSpaceDE w:val="0"/>
              <w:snapToGrid w:val="0"/>
              <w:jc w:val="center"/>
              <w:textAlignment w:val="baseline"/>
              <w:rPr>
                <w:rFonts w:ascii="宋体" w:hAnsi="宋体"/>
                <w:kern w:val="0"/>
                <w:sz w:val="18"/>
                <w:szCs w:val="18"/>
              </w:rPr>
            </w:pPr>
            <w:r>
              <w:rPr>
                <w:rFonts w:hint="eastAsia" w:ascii="宋体" w:hAnsi="宋体"/>
                <w:kern w:val="0"/>
                <w:sz w:val="18"/>
                <w:szCs w:val="18"/>
              </w:rPr>
              <w:t>污染物</w:t>
            </w:r>
          </w:p>
        </w:tc>
        <w:tc>
          <w:tcPr>
            <w:tcW w:w="3453" w:type="dxa"/>
            <w:tcBorders>
              <w:top w:val="single" w:color="auto" w:sz="4" w:space="0"/>
              <w:bottom w:val="single" w:color="auto" w:sz="8" w:space="0"/>
            </w:tcBorders>
            <w:shd w:val="clear" w:color="auto" w:fill="auto"/>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食用油、</w:t>
            </w:r>
            <w:r>
              <w:rPr>
                <w:rFonts w:ascii="宋体" w:hAnsi="宋体"/>
                <w:kern w:val="0"/>
                <w:sz w:val="18"/>
                <w:szCs w:val="18"/>
              </w:rPr>
              <w:t>肉及肉制品</w:t>
            </w:r>
          </w:p>
        </w:tc>
        <w:tc>
          <w:tcPr>
            <w:tcW w:w="4642" w:type="dxa"/>
            <w:tcBorders>
              <w:top w:val="single" w:color="auto" w:sz="4" w:space="0"/>
              <w:bottom w:val="single" w:color="auto" w:sz="8" w:space="0"/>
            </w:tcBorders>
            <w:shd w:val="clear" w:color="auto" w:fill="auto"/>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苯并芘、亚硝酸盐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475" w:type="dxa"/>
            <w:tcBorders>
              <w:top w:val="single" w:color="auto" w:sz="4" w:space="0"/>
              <w:bottom w:val="single" w:color="auto" w:sz="4" w:space="0"/>
            </w:tcBorders>
            <w:shd w:val="clear" w:color="auto" w:fill="auto"/>
            <w:vAlign w:val="center"/>
          </w:tcPr>
          <w:p>
            <w:pPr>
              <w:widowControl/>
              <w:autoSpaceDE w:val="0"/>
              <w:snapToGrid w:val="0"/>
              <w:jc w:val="center"/>
              <w:textAlignment w:val="baseline"/>
              <w:rPr>
                <w:rFonts w:ascii="宋体" w:hAnsi="宋体"/>
                <w:kern w:val="0"/>
                <w:sz w:val="18"/>
                <w:szCs w:val="18"/>
              </w:rPr>
            </w:pPr>
            <w:r>
              <w:rPr>
                <w:rFonts w:hint="eastAsia" w:ascii="宋体" w:hAnsi="宋体"/>
                <w:kern w:val="0"/>
                <w:sz w:val="18"/>
                <w:szCs w:val="18"/>
              </w:rPr>
              <w:t>油脂酸败</w:t>
            </w:r>
          </w:p>
        </w:tc>
        <w:tc>
          <w:tcPr>
            <w:tcW w:w="3453" w:type="dxa"/>
            <w:tcBorders>
              <w:top w:val="single" w:color="auto" w:sz="4" w:space="0"/>
              <w:bottom w:val="single" w:color="auto" w:sz="4" w:space="0"/>
            </w:tcBorders>
            <w:shd w:val="clear" w:color="auto" w:fill="auto"/>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食用油</w:t>
            </w:r>
          </w:p>
        </w:tc>
        <w:tc>
          <w:tcPr>
            <w:tcW w:w="4642" w:type="dxa"/>
            <w:tcBorders>
              <w:top w:val="single" w:color="auto" w:sz="4" w:space="0"/>
              <w:bottom w:val="single" w:color="auto" w:sz="4" w:space="0"/>
            </w:tcBorders>
            <w:shd w:val="clear" w:color="auto" w:fill="auto"/>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酸价、过氧化值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475" w:type="dxa"/>
            <w:tcBorders>
              <w:top w:val="single" w:color="auto" w:sz="4" w:space="0"/>
              <w:bottom w:val="single" w:color="auto" w:sz="4" w:space="0"/>
            </w:tcBorders>
            <w:shd w:val="clear" w:color="auto" w:fill="auto"/>
            <w:vAlign w:val="center"/>
          </w:tcPr>
          <w:p>
            <w:pPr>
              <w:widowControl/>
              <w:autoSpaceDE w:val="0"/>
              <w:snapToGrid w:val="0"/>
              <w:jc w:val="center"/>
              <w:textAlignment w:val="baseline"/>
              <w:rPr>
                <w:rFonts w:hint="default" w:ascii="宋体" w:hAnsi="宋体" w:eastAsia="宋体"/>
                <w:kern w:val="0"/>
                <w:sz w:val="18"/>
                <w:szCs w:val="18"/>
                <w:lang w:val="en-US" w:eastAsia="zh-CN"/>
              </w:rPr>
            </w:pPr>
            <w:r>
              <w:rPr>
                <w:rFonts w:hint="eastAsia" w:ascii="宋体" w:hAnsi="宋体"/>
                <w:kern w:val="0"/>
                <w:sz w:val="18"/>
                <w:szCs w:val="18"/>
                <w:lang w:val="en-US" w:eastAsia="zh-CN"/>
              </w:rPr>
              <w:t>非食用物质</w:t>
            </w:r>
          </w:p>
        </w:tc>
        <w:tc>
          <w:tcPr>
            <w:tcW w:w="3453" w:type="dxa"/>
            <w:tcBorders>
              <w:top w:val="single" w:color="auto" w:sz="4" w:space="0"/>
              <w:bottom w:val="single" w:color="auto" w:sz="4" w:space="0"/>
            </w:tcBorders>
            <w:shd w:val="clear" w:color="auto" w:fill="auto"/>
            <w:vAlign w:val="center"/>
          </w:tcPr>
          <w:p>
            <w:pPr>
              <w:widowControl/>
              <w:autoSpaceDE w:val="0"/>
              <w:snapToGrid w:val="0"/>
              <w:spacing w:line="240" w:lineRule="auto"/>
              <w:jc w:val="center"/>
              <w:textAlignment w:val="baseline"/>
              <w:rPr>
                <w:rFonts w:hint="eastAsia" w:ascii="宋体" w:hAnsi="宋体" w:eastAsia="宋体"/>
                <w:kern w:val="0"/>
                <w:sz w:val="18"/>
                <w:szCs w:val="18"/>
                <w:lang w:val="en-US" w:eastAsia="zh-CN"/>
              </w:rPr>
            </w:pPr>
            <w:r>
              <w:rPr>
                <w:rFonts w:hint="eastAsia" w:ascii="宋体" w:hAnsi="宋体"/>
                <w:kern w:val="0"/>
                <w:sz w:val="18"/>
                <w:szCs w:val="18"/>
                <w:lang w:val="en-US" w:eastAsia="zh-CN"/>
              </w:rPr>
              <w:t>调味品</w:t>
            </w:r>
          </w:p>
        </w:tc>
        <w:tc>
          <w:tcPr>
            <w:tcW w:w="4642" w:type="dxa"/>
            <w:tcBorders>
              <w:top w:val="single" w:color="auto" w:sz="4" w:space="0"/>
              <w:bottom w:val="single" w:color="auto" w:sz="4" w:space="0"/>
            </w:tcBorders>
            <w:shd w:val="clear" w:color="auto" w:fill="auto"/>
            <w:vAlign w:val="center"/>
          </w:tcPr>
          <w:p>
            <w:pPr>
              <w:widowControl/>
              <w:autoSpaceDE w:val="0"/>
              <w:snapToGrid w:val="0"/>
              <w:spacing w:line="240" w:lineRule="auto"/>
              <w:jc w:val="center"/>
              <w:textAlignment w:val="baseline"/>
              <w:rPr>
                <w:rFonts w:hint="eastAsia" w:ascii="宋体" w:hAnsi="宋体"/>
                <w:kern w:val="0"/>
                <w:sz w:val="18"/>
                <w:szCs w:val="18"/>
              </w:rPr>
            </w:pPr>
            <w:r>
              <w:rPr>
                <w:rFonts w:hint="eastAsia" w:ascii="宋体" w:hAnsi="宋体" w:eastAsia="宋体" w:cs="宋体"/>
                <w:kern w:val="0"/>
                <w:sz w:val="20"/>
                <w:szCs w:val="20"/>
              </w:rPr>
              <w:t>罌粟碱</w:t>
            </w:r>
          </w:p>
        </w:tc>
      </w:tr>
      <w:bookmarkEnd w:id="81"/>
      <w:bookmarkEnd w:id="82"/>
    </w:tbl>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adjustRightInd/>
        <w:spacing w:before="312" w:beforeLines="100" w:after="312" w:afterLines="100" w:line="240" w:lineRule="auto"/>
        <w:jc w:val="center"/>
        <w:outlineLvl w:val="0"/>
        <w:rPr>
          <w:rFonts w:ascii="黑体" w:hAnsi="Times New Roman" w:eastAsia="黑体"/>
          <w:kern w:val="0"/>
          <w:szCs w:val="20"/>
        </w:rPr>
      </w:pPr>
      <w:bookmarkStart w:id="85" w:name="_Toc105509189"/>
      <w:r>
        <w:rPr>
          <w:rFonts w:hint="eastAsia" w:ascii="黑体" w:hAnsi="Times New Roman" w:eastAsia="黑体"/>
          <w:kern w:val="0"/>
          <w:szCs w:val="20"/>
        </w:rPr>
        <w:t>附  录 C</w:t>
      </w:r>
      <w:r>
        <w:rPr>
          <w:rFonts w:ascii="黑体" w:hAnsi="Times New Roman" w:eastAsia="黑体"/>
          <w:kern w:val="0"/>
          <w:szCs w:val="20"/>
        </w:rPr>
        <w:br w:type="textWrapping"/>
      </w:r>
      <w:r>
        <w:rPr>
          <w:rFonts w:ascii="黑体" w:hAnsi="Times New Roman" w:eastAsia="黑体"/>
          <w:kern w:val="0"/>
          <w:szCs w:val="20"/>
        </w:rPr>
        <w:t>（规范性）</w:t>
      </w:r>
      <w:r>
        <w:rPr>
          <w:rFonts w:ascii="黑体" w:hAnsi="Times New Roman" w:eastAsia="黑体"/>
          <w:kern w:val="0"/>
          <w:szCs w:val="20"/>
        </w:rPr>
        <w:br w:type="textWrapping"/>
      </w:r>
      <w:r>
        <w:rPr>
          <w:rFonts w:hint="eastAsia" w:ascii="黑体" w:hAnsi="Times New Roman" w:eastAsia="黑体"/>
          <w:kern w:val="0"/>
          <w:szCs w:val="20"/>
        </w:rPr>
        <w:t>重大活动餐饮服务食品安全监督记录表</w:t>
      </w:r>
      <w:bookmarkEnd w:id="85"/>
    </w:p>
    <w:p>
      <w:pPr>
        <w:widowControl/>
        <w:autoSpaceDE w:val="0"/>
        <w:autoSpaceDN w:val="0"/>
        <w:adjustRightInd/>
        <w:spacing w:line="240" w:lineRule="auto"/>
        <w:ind w:firstLine="420" w:firstLineChars="200"/>
        <w:rPr>
          <w:rFonts w:ascii="Times New Roman" w:hAnsi="Times New Roman"/>
          <w:kern w:val="0"/>
        </w:rPr>
      </w:pPr>
      <w:r>
        <w:rPr>
          <w:rFonts w:hint="eastAsia" w:ascii="Times New Roman" w:hAnsi="Times New Roman"/>
          <w:kern w:val="0"/>
        </w:rPr>
        <w:t>重大活动餐饮服务食品安全监督记录</w:t>
      </w:r>
      <w:r>
        <w:rPr>
          <w:rFonts w:ascii="Times New Roman" w:hAnsi="Times New Roman"/>
          <w:kern w:val="0"/>
        </w:rPr>
        <w:t>见表</w:t>
      </w:r>
      <w:r>
        <w:rPr>
          <w:rFonts w:hint="eastAsia" w:ascii="宋体" w:hAnsi="宋体"/>
          <w:kern w:val="0"/>
        </w:rPr>
        <w:t>C</w:t>
      </w:r>
      <w:r>
        <w:rPr>
          <w:rFonts w:ascii="宋体" w:hAnsi="宋体"/>
          <w:kern w:val="0"/>
        </w:rPr>
        <w:t>.1。</w:t>
      </w:r>
    </w:p>
    <w:p>
      <w:pPr>
        <w:widowControl/>
        <w:snapToGrid w:val="0"/>
        <w:jc w:val="center"/>
        <w:rPr>
          <w:rFonts w:ascii="宋体" w:hAnsi="宋体"/>
          <w:kern w:val="0"/>
          <w:sz w:val="18"/>
          <w:szCs w:val="18"/>
        </w:rPr>
      </w:pPr>
      <w:r>
        <w:rPr>
          <w:rFonts w:ascii="Times New Roman" w:hAnsi="Times New Roman" w:eastAsia="黑体"/>
          <w:kern w:val="21"/>
          <w:szCs w:val="20"/>
        </w:rPr>
        <w:t>表</w:t>
      </w:r>
      <w:r>
        <w:rPr>
          <w:rFonts w:hint="eastAsia" w:ascii="Times New Roman" w:hAnsi="Times New Roman" w:eastAsia="黑体"/>
          <w:kern w:val="21"/>
          <w:szCs w:val="20"/>
        </w:rPr>
        <w:t>C</w:t>
      </w:r>
      <w:r>
        <w:rPr>
          <w:rFonts w:ascii="Times New Roman" w:hAnsi="Times New Roman" w:eastAsia="黑体"/>
          <w:kern w:val="21"/>
          <w:szCs w:val="20"/>
        </w:rPr>
        <w:t xml:space="preserve">.1 </w:t>
      </w:r>
      <w:r>
        <w:rPr>
          <w:rFonts w:hint="eastAsia" w:ascii="Times New Roman" w:hAnsi="Times New Roman" w:eastAsia="黑体"/>
          <w:kern w:val="21"/>
          <w:szCs w:val="20"/>
        </w:rPr>
        <w:t>重大活动餐饮服务食品安全监督记录表</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5954"/>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widowControl/>
              <w:autoSpaceDE w:val="0"/>
              <w:snapToGrid w:val="0"/>
              <w:jc w:val="center"/>
              <w:textAlignment w:val="baseline"/>
              <w:rPr>
                <w:rFonts w:ascii="宋体" w:hAnsi="宋体"/>
                <w:kern w:val="0"/>
                <w:sz w:val="18"/>
                <w:szCs w:val="18"/>
              </w:rPr>
            </w:pPr>
            <w:r>
              <w:rPr>
                <w:rFonts w:hint="eastAsia" w:ascii="宋体" w:hAnsi="宋体"/>
                <w:kern w:val="0"/>
                <w:sz w:val="18"/>
                <w:szCs w:val="18"/>
              </w:rPr>
              <w:t>检查项目</w:t>
            </w:r>
          </w:p>
        </w:tc>
        <w:tc>
          <w:tcPr>
            <w:tcW w:w="5954" w:type="dxa"/>
            <w:vAlign w:val="center"/>
          </w:tcPr>
          <w:p>
            <w:pPr>
              <w:widowControl/>
              <w:autoSpaceDE w:val="0"/>
              <w:snapToGrid w:val="0"/>
              <w:jc w:val="center"/>
              <w:textAlignment w:val="baseline"/>
              <w:rPr>
                <w:rFonts w:ascii="宋体" w:hAnsi="宋体"/>
                <w:kern w:val="0"/>
                <w:sz w:val="18"/>
                <w:szCs w:val="18"/>
              </w:rPr>
            </w:pPr>
            <w:r>
              <w:rPr>
                <w:rFonts w:hint="eastAsia" w:ascii="宋体" w:hAnsi="宋体"/>
                <w:kern w:val="0"/>
                <w:sz w:val="18"/>
                <w:szCs w:val="18"/>
              </w:rPr>
              <w:t>检查内容</w:t>
            </w:r>
          </w:p>
        </w:tc>
        <w:tc>
          <w:tcPr>
            <w:tcW w:w="1665" w:type="dxa"/>
            <w:vAlign w:val="center"/>
          </w:tcPr>
          <w:p>
            <w:pPr>
              <w:widowControl/>
              <w:snapToGrid w:val="0"/>
              <w:jc w:val="center"/>
              <w:rPr>
                <w:rFonts w:ascii="宋体" w:hAnsi="宋体"/>
                <w:kern w:val="0"/>
                <w:sz w:val="18"/>
                <w:szCs w:val="18"/>
              </w:rPr>
            </w:pPr>
            <w:r>
              <w:rPr>
                <w:rFonts w:hint="eastAsia" w:ascii="宋体" w:hAnsi="宋体"/>
                <w:kern w:val="0"/>
                <w:sz w:val="18"/>
                <w:szCs w:val="18"/>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pPr>
              <w:widowControl/>
              <w:autoSpaceDE w:val="0"/>
              <w:snapToGrid w:val="0"/>
              <w:jc w:val="center"/>
              <w:textAlignment w:val="baseline"/>
              <w:rPr>
                <w:rFonts w:ascii="宋体" w:hAnsi="宋体"/>
                <w:kern w:val="0"/>
                <w:sz w:val="18"/>
                <w:szCs w:val="18"/>
              </w:rPr>
            </w:pPr>
            <w:r>
              <w:rPr>
                <w:rFonts w:hint="eastAsia" w:ascii="宋体" w:hAnsi="宋体"/>
                <w:kern w:val="0"/>
                <w:sz w:val="18"/>
                <w:szCs w:val="18"/>
              </w:rPr>
              <w:t>从业人员健康和卫生管理</w:t>
            </w:r>
          </w:p>
        </w:tc>
        <w:tc>
          <w:tcPr>
            <w:tcW w:w="5954" w:type="dxa"/>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从业人员是否办理健康证</w:t>
            </w:r>
          </w:p>
        </w:tc>
        <w:tc>
          <w:tcPr>
            <w:tcW w:w="1665" w:type="dxa"/>
            <w:vAlign w:val="center"/>
          </w:tcPr>
          <w:p>
            <w:pPr>
              <w:widowControl/>
              <w:snapToGrid w:val="0"/>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widowControl/>
              <w:autoSpaceDE w:val="0"/>
              <w:snapToGrid w:val="0"/>
              <w:jc w:val="center"/>
              <w:textAlignment w:val="baseline"/>
              <w:rPr>
                <w:rFonts w:ascii="宋体" w:hAnsi="宋体"/>
                <w:kern w:val="0"/>
                <w:sz w:val="18"/>
                <w:szCs w:val="18"/>
              </w:rPr>
            </w:pPr>
          </w:p>
        </w:tc>
        <w:tc>
          <w:tcPr>
            <w:tcW w:w="5954" w:type="dxa"/>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从业人员进入操作间是否按规范要求进行手部清洗消毒</w:t>
            </w:r>
          </w:p>
        </w:tc>
        <w:tc>
          <w:tcPr>
            <w:tcW w:w="1665" w:type="dxa"/>
            <w:vAlign w:val="center"/>
          </w:tcPr>
          <w:p>
            <w:pPr>
              <w:widowControl/>
              <w:snapToGrid w:val="0"/>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widowControl/>
              <w:autoSpaceDE w:val="0"/>
              <w:snapToGrid w:val="0"/>
              <w:jc w:val="center"/>
              <w:textAlignment w:val="baseline"/>
              <w:rPr>
                <w:rFonts w:ascii="宋体" w:hAnsi="宋体"/>
                <w:kern w:val="0"/>
                <w:sz w:val="18"/>
                <w:szCs w:val="18"/>
              </w:rPr>
            </w:pPr>
          </w:p>
        </w:tc>
        <w:tc>
          <w:tcPr>
            <w:tcW w:w="5954" w:type="dxa"/>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从业人员是否留有长指甲、涂指甲油、披散头发、佩戴外露饰物</w:t>
            </w:r>
          </w:p>
        </w:tc>
        <w:tc>
          <w:tcPr>
            <w:tcW w:w="1665" w:type="dxa"/>
            <w:vAlign w:val="center"/>
          </w:tcPr>
          <w:p>
            <w:pPr>
              <w:widowControl/>
              <w:snapToGrid w:val="0"/>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widowControl/>
              <w:autoSpaceDE w:val="0"/>
              <w:snapToGrid w:val="0"/>
              <w:jc w:val="center"/>
              <w:textAlignment w:val="baseline"/>
              <w:rPr>
                <w:rFonts w:ascii="宋体" w:hAnsi="宋体"/>
                <w:kern w:val="0"/>
                <w:sz w:val="18"/>
                <w:szCs w:val="18"/>
              </w:rPr>
            </w:pPr>
          </w:p>
        </w:tc>
        <w:tc>
          <w:tcPr>
            <w:tcW w:w="5954" w:type="dxa"/>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从业人员是否按要求穿着清洁工作服、佩戴工作帽</w:t>
            </w:r>
          </w:p>
        </w:tc>
        <w:tc>
          <w:tcPr>
            <w:tcW w:w="1665" w:type="dxa"/>
            <w:vAlign w:val="center"/>
          </w:tcPr>
          <w:p>
            <w:pPr>
              <w:widowControl/>
              <w:snapToGrid w:val="0"/>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widowControl/>
              <w:autoSpaceDE w:val="0"/>
              <w:snapToGrid w:val="0"/>
              <w:jc w:val="center"/>
              <w:textAlignment w:val="baseline"/>
              <w:rPr>
                <w:rFonts w:ascii="宋体" w:hAnsi="宋体"/>
                <w:kern w:val="0"/>
                <w:sz w:val="18"/>
                <w:szCs w:val="18"/>
              </w:rPr>
            </w:pPr>
          </w:p>
        </w:tc>
        <w:tc>
          <w:tcPr>
            <w:tcW w:w="5954" w:type="dxa"/>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从业人员是否存在在食品处理区、食品加工区吸烟等有碍食品安全的行为</w:t>
            </w:r>
          </w:p>
        </w:tc>
        <w:tc>
          <w:tcPr>
            <w:tcW w:w="1665" w:type="dxa"/>
            <w:vAlign w:val="center"/>
          </w:tcPr>
          <w:p>
            <w:pPr>
              <w:widowControl/>
              <w:snapToGrid w:val="0"/>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pPr>
              <w:widowControl/>
              <w:autoSpaceDE w:val="0"/>
              <w:snapToGrid w:val="0"/>
              <w:jc w:val="center"/>
              <w:textAlignment w:val="baseline"/>
              <w:rPr>
                <w:rFonts w:ascii="宋体" w:hAnsi="宋体"/>
                <w:kern w:val="0"/>
                <w:sz w:val="18"/>
                <w:szCs w:val="18"/>
              </w:rPr>
            </w:pPr>
            <w:r>
              <w:rPr>
                <w:rFonts w:hint="eastAsia" w:ascii="宋体" w:hAnsi="宋体"/>
                <w:kern w:val="0"/>
                <w:sz w:val="18"/>
                <w:szCs w:val="18"/>
              </w:rPr>
              <w:t>食品、食品原料、食品添加剂进货查验及仓储管理</w:t>
            </w:r>
          </w:p>
        </w:tc>
        <w:tc>
          <w:tcPr>
            <w:tcW w:w="5954" w:type="dxa"/>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进货渠道是否正规、索证索票是否齐全</w:t>
            </w:r>
          </w:p>
        </w:tc>
        <w:tc>
          <w:tcPr>
            <w:tcW w:w="1665" w:type="dxa"/>
            <w:vAlign w:val="center"/>
          </w:tcPr>
          <w:p>
            <w:pPr>
              <w:widowControl/>
              <w:snapToGrid w:val="0"/>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widowControl/>
              <w:autoSpaceDE w:val="0"/>
              <w:snapToGrid w:val="0"/>
              <w:jc w:val="center"/>
              <w:textAlignment w:val="baseline"/>
              <w:rPr>
                <w:rFonts w:ascii="宋体" w:hAnsi="宋体"/>
                <w:kern w:val="0"/>
                <w:sz w:val="18"/>
                <w:szCs w:val="18"/>
              </w:rPr>
            </w:pPr>
          </w:p>
        </w:tc>
        <w:tc>
          <w:tcPr>
            <w:tcW w:w="5954" w:type="dxa"/>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出入库管理是否规范、台账记录是否完备</w:t>
            </w:r>
          </w:p>
        </w:tc>
        <w:tc>
          <w:tcPr>
            <w:tcW w:w="1665" w:type="dxa"/>
            <w:vAlign w:val="center"/>
          </w:tcPr>
          <w:p>
            <w:pPr>
              <w:widowControl/>
              <w:snapToGrid w:val="0"/>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widowControl/>
              <w:autoSpaceDE w:val="0"/>
              <w:snapToGrid w:val="0"/>
              <w:jc w:val="center"/>
              <w:textAlignment w:val="baseline"/>
              <w:rPr>
                <w:rFonts w:ascii="宋体" w:hAnsi="宋体"/>
                <w:kern w:val="0"/>
                <w:sz w:val="18"/>
                <w:szCs w:val="18"/>
              </w:rPr>
            </w:pPr>
          </w:p>
        </w:tc>
        <w:tc>
          <w:tcPr>
            <w:tcW w:w="5954" w:type="dxa"/>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是否对食品原料的农、兽药残留进行快速检测并做好记录</w:t>
            </w:r>
          </w:p>
        </w:tc>
        <w:tc>
          <w:tcPr>
            <w:tcW w:w="1665" w:type="dxa"/>
            <w:vAlign w:val="center"/>
          </w:tcPr>
          <w:p>
            <w:pPr>
              <w:widowControl/>
              <w:snapToGrid w:val="0"/>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widowControl/>
              <w:autoSpaceDE w:val="0"/>
              <w:snapToGrid w:val="0"/>
              <w:jc w:val="center"/>
              <w:textAlignment w:val="baseline"/>
              <w:rPr>
                <w:rFonts w:ascii="宋体" w:hAnsi="宋体"/>
                <w:kern w:val="0"/>
                <w:sz w:val="18"/>
                <w:szCs w:val="18"/>
              </w:rPr>
            </w:pPr>
          </w:p>
        </w:tc>
        <w:tc>
          <w:tcPr>
            <w:tcW w:w="5954" w:type="dxa"/>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食品</w:t>
            </w:r>
            <w:r>
              <w:rPr>
                <w:rFonts w:hint="eastAsia" w:ascii="宋体" w:hAnsi="宋体"/>
                <w:kern w:val="0"/>
                <w:sz w:val="18"/>
                <w:szCs w:val="18"/>
                <w:lang w:eastAsia="zh-CN"/>
              </w:rPr>
              <w:t>、</w:t>
            </w:r>
            <w:r>
              <w:rPr>
                <w:rFonts w:hint="eastAsia" w:ascii="宋体" w:hAnsi="宋体"/>
                <w:kern w:val="0"/>
                <w:sz w:val="18"/>
                <w:szCs w:val="18"/>
                <w:lang w:val="en-US" w:eastAsia="zh-CN"/>
              </w:rPr>
              <w:t>食品原料</w:t>
            </w:r>
            <w:r>
              <w:rPr>
                <w:rFonts w:hint="eastAsia" w:ascii="宋体" w:hAnsi="宋体"/>
                <w:kern w:val="0"/>
                <w:sz w:val="18"/>
                <w:szCs w:val="18"/>
              </w:rPr>
              <w:t>是否分区、离墙、离地存放</w:t>
            </w:r>
          </w:p>
        </w:tc>
        <w:tc>
          <w:tcPr>
            <w:tcW w:w="1665" w:type="dxa"/>
            <w:vAlign w:val="center"/>
          </w:tcPr>
          <w:p>
            <w:pPr>
              <w:widowControl/>
              <w:snapToGrid w:val="0"/>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widowControl/>
              <w:autoSpaceDE w:val="0"/>
              <w:snapToGrid w:val="0"/>
              <w:jc w:val="center"/>
              <w:textAlignment w:val="baseline"/>
              <w:rPr>
                <w:rFonts w:ascii="宋体" w:hAnsi="宋体"/>
                <w:kern w:val="0"/>
                <w:sz w:val="18"/>
                <w:szCs w:val="18"/>
              </w:rPr>
            </w:pPr>
          </w:p>
        </w:tc>
        <w:tc>
          <w:tcPr>
            <w:tcW w:w="5954" w:type="dxa"/>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冷冻、冷藏食品贮存温度是否达到要求</w:t>
            </w:r>
          </w:p>
        </w:tc>
        <w:tc>
          <w:tcPr>
            <w:tcW w:w="1665" w:type="dxa"/>
            <w:vAlign w:val="center"/>
          </w:tcPr>
          <w:p>
            <w:pPr>
              <w:widowControl/>
              <w:snapToGrid w:val="0"/>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widowControl/>
              <w:autoSpaceDE w:val="0"/>
              <w:snapToGrid w:val="0"/>
              <w:jc w:val="center"/>
              <w:textAlignment w:val="baseline"/>
              <w:rPr>
                <w:rFonts w:ascii="宋体" w:hAnsi="宋体"/>
                <w:kern w:val="0"/>
                <w:sz w:val="18"/>
                <w:szCs w:val="18"/>
              </w:rPr>
            </w:pPr>
          </w:p>
        </w:tc>
        <w:tc>
          <w:tcPr>
            <w:tcW w:w="5954" w:type="dxa"/>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危化品、杀虫剂及其他危险品是否规范管理</w:t>
            </w:r>
          </w:p>
        </w:tc>
        <w:tc>
          <w:tcPr>
            <w:tcW w:w="1665" w:type="dxa"/>
            <w:vAlign w:val="center"/>
          </w:tcPr>
          <w:p>
            <w:pPr>
              <w:widowControl/>
              <w:snapToGrid w:val="0"/>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widowControl/>
              <w:autoSpaceDE w:val="0"/>
              <w:snapToGrid w:val="0"/>
              <w:jc w:val="center"/>
              <w:textAlignment w:val="baseline"/>
              <w:rPr>
                <w:rFonts w:ascii="宋体" w:hAnsi="宋体"/>
                <w:kern w:val="0"/>
                <w:sz w:val="18"/>
                <w:szCs w:val="18"/>
              </w:rPr>
            </w:pPr>
          </w:p>
        </w:tc>
        <w:tc>
          <w:tcPr>
            <w:tcW w:w="5954" w:type="dxa"/>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是否有禁止使用或来源不明的食品、食品原料、食品添加剂</w:t>
            </w:r>
          </w:p>
        </w:tc>
        <w:tc>
          <w:tcPr>
            <w:tcW w:w="1665" w:type="dxa"/>
            <w:vAlign w:val="center"/>
          </w:tcPr>
          <w:p>
            <w:pPr>
              <w:widowControl/>
              <w:snapToGrid w:val="0"/>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widowControl/>
              <w:autoSpaceDE w:val="0"/>
              <w:snapToGrid w:val="0"/>
              <w:jc w:val="center"/>
              <w:textAlignment w:val="baseline"/>
              <w:rPr>
                <w:rFonts w:ascii="宋体" w:hAnsi="宋体"/>
                <w:kern w:val="0"/>
                <w:sz w:val="18"/>
                <w:szCs w:val="18"/>
              </w:rPr>
            </w:pPr>
          </w:p>
        </w:tc>
        <w:tc>
          <w:tcPr>
            <w:tcW w:w="5954" w:type="dxa"/>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是否使用其他餐饮单位加工制作的直接入口食品</w:t>
            </w:r>
          </w:p>
        </w:tc>
        <w:tc>
          <w:tcPr>
            <w:tcW w:w="1665" w:type="dxa"/>
            <w:vAlign w:val="center"/>
          </w:tcPr>
          <w:p>
            <w:pPr>
              <w:widowControl/>
              <w:snapToGrid w:val="0"/>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pPr>
              <w:widowControl/>
              <w:autoSpaceDE w:val="0"/>
              <w:snapToGrid w:val="0"/>
              <w:jc w:val="center"/>
              <w:textAlignment w:val="baseline"/>
              <w:rPr>
                <w:rFonts w:ascii="宋体" w:hAnsi="宋体"/>
                <w:kern w:val="0"/>
                <w:sz w:val="18"/>
                <w:szCs w:val="18"/>
              </w:rPr>
            </w:pPr>
            <w:r>
              <w:rPr>
                <w:rFonts w:hint="eastAsia" w:ascii="宋体" w:hAnsi="宋体"/>
                <w:kern w:val="0"/>
                <w:sz w:val="18"/>
                <w:szCs w:val="18"/>
              </w:rPr>
              <w:t>食品制作加工过程管理</w:t>
            </w:r>
          </w:p>
        </w:tc>
        <w:tc>
          <w:tcPr>
            <w:tcW w:w="5954" w:type="dxa"/>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食品处理区的卫生情况是否良好</w:t>
            </w:r>
          </w:p>
        </w:tc>
        <w:tc>
          <w:tcPr>
            <w:tcW w:w="1665" w:type="dxa"/>
            <w:vAlign w:val="center"/>
          </w:tcPr>
          <w:p>
            <w:pPr>
              <w:widowControl/>
              <w:snapToGrid w:val="0"/>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widowControl/>
              <w:autoSpaceDE w:val="0"/>
              <w:snapToGrid w:val="0"/>
              <w:jc w:val="center"/>
              <w:textAlignment w:val="baseline"/>
              <w:rPr>
                <w:rFonts w:ascii="宋体" w:hAnsi="宋体"/>
                <w:kern w:val="0"/>
                <w:sz w:val="18"/>
                <w:szCs w:val="18"/>
              </w:rPr>
            </w:pPr>
          </w:p>
        </w:tc>
        <w:tc>
          <w:tcPr>
            <w:tcW w:w="5954" w:type="dxa"/>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动物性食品、植物性食品、水产品是否分类清洗、切配，水池、刀具、砧板、容器等是否存在混用情况</w:t>
            </w:r>
          </w:p>
        </w:tc>
        <w:tc>
          <w:tcPr>
            <w:tcW w:w="1665" w:type="dxa"/>
            <w:vAlign w:val="center"/>
          </w:tcPr>
          <w:p>
            <w:pPr>
              <w:widowControl/>
              <w:snapToGrid w:val="0"/>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widowControl/>
              <w:autoSpaceDE w:val="0"/>
              <w:snapToGrid w:val="0"/>
              <w:jc w:val="center"/>
              <w:textAlignment w:val="baseline"/>
              <w:rPr>
                <w:rFonts w:ascii="宋体" w:hAnsi="宋体"/>
                <w:kern w:val="0"/>
                <w:sz w:val="18"/>
                <w:szCs w:val="18"/>
              </w:rPr>
            </w:pPr>
          </w:p>
        </w:tc>
        <w:tc>
          <w:tcPr>
            <w:tcW w:w="5954" w:type="dxa"/>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是否存在异常的食品原料或半成品</w:t>
            </w:r>
          </w:p>
        </w:tc>
        <w:tc>
          <w:tcPr>
            <w:tcW w:w="1665" w:type="dxa"/>
            <w:vAlign w:val="center"/>
          </w:tcPr>
          <w:p>
            <w:pPr>
              <w:widowControl/>
              <w:snapToGrid w:val="0"/>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widowControl/>
              <w:autoSpaceDE w:val="0"/>
              <w:snapToGrid w:val="0"/>
              <w:jc w:val="center"/>
              <w:textAlignment w:val="baseline"/>
              <w:rPr>
                <w:rFonts w:ascii="宋体" w:hAnsi="宋体"/>
                <w:kern w:val="0"/>
                <w:sz w:val="18"/>
                <w:szCs w:val="18"/>
              </w:rPr>
            </w:pPr>
          </w:p>
        </w:tc>
        <w:tc>
          <w:tcPr>
            <w:tcW w:w="5954" w:type="dxa"/>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成品、半成品、原料是否分开放置，存放容器是否存在混用</w:t>
            </w:r>
          </w:p>
        </w:tc>
        <w:tc>
          <w:tcPr>
            <w:tcW w:w="1665" w:type="dxa"/>
            <w:vAlign w:val="center"/>
          </w:tcPr>
          <w:p>
            <w:pPr>
              <w:widowControl/>
              <w:snapToGrid w:val="0"/>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widowControl/>
              <w:autoSpaceDE w:val="0"/>
              <w:snapToGrid w:val="0"/>
              <w:jc w:val="center"/>
              <w:textAlignment w:val="baseline"/>
              <w:rPr>
                <w:rFonts w:ascii="宋体" w:hAnsi="宋体"/>
                <w:kern w:val="0"/>
                <w:sz w:val="18"/>
                <w:szCs w:val="18"/>
              </w:rPr>
            </w:pPr>
          </w:p>
        </w:tc>
        <w:tc>
          <w:tcPr>
            <w:tcW w:w="5954" w:type="dxa"/>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食品加工后是否存在长时间存放，长时间存放的，是否在高于60℃或低于8℃的温度条件下存放</w:t>
            </w:r>
          </w:p>
        </w:tc>
        <w:tc>
          <w:tcPr>
            <w:tcW w:w="1665" w:type="dxa"/>
            <w:vAlign w:val="center"/>
          </w:tcPr>
          <w:p>
            <w:pPr>
              <w:widowControl/>
              <w:snapToGrid w:val="0"/>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pPr>
              <w:widowControl/>
              <w:autoSpaceDE w:val="0"/>
              <w:snapToGrid w:val="0"/>
              <w:jc w:val="center"/>
              <w:textAlignment w:val="baseline"/>
              <w:rPr>
                <w:rFonts w:ascii="宋体" w:hAnsi="宋体"/>
                <w:kern w:val="0"/>
                <w:sz w:val="18"/>
                <w:szCs w:val="18"/>
              </w:rPr>
            </w:pPr>
            <w:r>
              <w:rPr>
                <w:rFonts w:hint="eastAsia" w:ascii="宋体" w:hAnsi="宋体"/>
                <w:kern w:val="0"/>
                <w:sz w:val="18"/>
                <w:szCs w:val="18"/>
              </w:rPr>
              <w:t>食品留样管理</w:t>
            </w:r>
          </w:p>
        </w:tc>
        <w:tc>
          <w:tcPr>
            <w:tcW w:w="5954" w:type="dxa"/>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食品留样是否专人负责、留样柜是否加锁</w:t>
            </w:r>
          </w:p>
        </w:tc>
        <w:tc>
          <w:tcPr>
            <w:tcW w:w="1665" w:type="dxa"/>
            <w:vAlign w:val="center"/>
          </w:tcPr>
          <w:p>
            <w:pPr>
              <w:widowControl/>
              <w:snapToGrid w:val="0"/>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widowControl/>
              <w:autoSpaceDE w:val="0"/>
              <w:snapToGrid w:val="0"/>
              <w:jc w:val="center"/>
              <w:textAlignment w:val="baseline"/>
              <w:rPr>
                <w:rFonts w:ascii="宋体" w:hAnsi="宋体"/>
                <w:kern w:val="0"/>
                <w:sz w:val="18"/>
                <w:szCs w:val="18"/>
              </w:rPr>
            </w:pPr>
          </w:p>
        </w:tc>
        <w:tc>
          <w:tcPr>
            <w:tcW w:w="5954" w:type="dxa"/>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留样食品是否存放于清洗消毒后的密闭专用容器内</w:t>
            </w:r>
          </w:p>
        </w:tc>
        <w:tc>
          <w:tcPr>
            <w:tcW w:w="1665" w:type="dxa"/>
            <w:vAlign w:val="center"/>
          </w:tcPr>
          <w:p>
            <w:pPr>
              <w:widowControl/>
              <w:snapToGrid w:val="0"/>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widowControl/>
              <w:autoSpaceDE w:val="0"/>
              <w:snapToGrid w:val="0"/>
              <w:jc w:val="center"/>
              <w:textAlignment w:val="baseline"/>
              <w:rPr>
                <w:rFonts w:ascii="宋体" w:hAnsi="宋体"/>
                <w:kern w:val="0"/>
                <w:sz w:val="18"/>
                <w:szCs w:val="18"/>
              </w:rPr>
            </w:pPr>
          </w:p>
        </w:tc>
        <w:tc>
          <w:tcPr>
            <w:tcW w:w="5954" w:type="dxa"/>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每个成品的留样量是否达到200克</w:t>
            </w:r>
          </w:p>
        </w:tc>
        <w:tc>
          <w:tcPr>
            <w:tcW w:w="1665" w:type="dxa"/>
            <w:vAlign w:val="center"/>
          </w:tcPr>
          <w:p>
            <w:pPr>
              <w:widowControl/>
              <w:snapToGrid w:val="0"/>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widowControl/>
              <w:autoSpaceDE w:val="0"/>
              <w:snapToGrid w:val="0"/>
              <w:jc w:val="center"/>
              <w:textAlignment w:val="baseline"/>
              <w:rPr>
                <w:rFonts w:ascii="宋体" w:hAnsi="宋体"/>
                <w:kern w:val="0"/>
                <w:sz w:val="18"/>
                <w:szCs w:val="18"/>
              </w:rPr>
            </w:pPr>
          </w:p>
        </w:tc>
        <w:tc>
          <w:tcPr>
            <w:tcW w:w="5954" w:type="dxa"/>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留样容器上的标签内容是否清楚完备</w:t>
            </w:r>
          </w:p>
        </w:tc>
        <w:tc>
          <w:tcPr>
            <w:tcW w:w="1665" w:type="dxa"/>
            <w:vAlign w:val="center"/>
          </w:tcPr>
          <w:p>
            <w:pPr>
              <w:widowControl/>
              <w:snapToGrid w:val="0"/>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widowControl/>
              <w:autoSpaceDE w:val="0"/>
              <w:snapToGrid w:val="0"/>
              <w:jc w:val="center"/>
              <w:textAlignment w:val="baseline"/>
              <w:rPr>
                <w:rFonts w:ascii="宋体" w:hAnsi="宋体"/>
                <w:kern w:val="0"/>
                <w:sz w:val="18"/>
                <w:szCs w:val="18"/>
              </w:rPr>
            </w:pPr>
          </w:p>
        </w:tc>
        <w:tc>
          <w:tcPr>
            <w:tcW w:w="5954" w:type="dxa"/>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留样记录是否详实，品种与餐次菜谱是否一致</w:t>
            </w:r>
          </w:p>
        </w:tc>
        <w:tc>
          <w:tcPr>
            <w:tcW w:w="1665" w:type="dxa"/>
            <w:vAlign w:val="center"/>
          </w:tcPr>
          <w:p>
            <w:pPr>
              <w:widowControl/>
              <w:snapToGrid w:val="0"/>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pPr>
              <w:widowControl/>
              <w:autoSpaceDE w:val="0"/>
              <w:snapToGrid w:val="0"/>
              <w:jc w:val="center"/>
              <w:textAlignment w:val="baseline"/>
              <w:rPr>
                <w:rFonts w:ascii="宋体" w:hAnsi="宋体"/>
                <w:kern w:val="0"/>
                <w:sz w:val="18"/>
                <w:szCs w:val="18"/>
              </w:rPr>
            </w:pPr>
            <w:r>
              <w:rPr>
                <w:rFonts w:hint="eastAsia" w:ascii="宋体" w:hAnsi="宋体"/>
                <w:kern w:val="0"/>
                <w:sz w:val="18"/>
                <w:szCs w:val="18"/>
              </w:rPr>
              <w:t>餐饮具清洗消毒管理</w:t>
            </w:r>
          </w:p>
          <w:p>
            <w:pPr>
              <w:widowControl/>
              <w:autoSpaceDE w:val="0"/>
              <w:snapToGrid w:val="0"/>
              <w:jc w:val="center"/>
              <w:textAlignment w:val="baseline"/>
              <w:rPr>
                <w:rFonts w:ascii="宋体" w:hAnsi="宋体"/>
                <w:kern w:val="0"/>
                <w:sz w:val="18"/>
                <w:szCs w:val="18"/>
              </w:rPr>
            </w:pPr>
          </w:p>
        </w:tc>
        <w:tc>
          <w:tcPr>
            <w:tcW w:w="5954" w:type="dxa"/>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餐饮具清洗消毒程序是否合理、规范，清洗消毒设施运行是否正常</w:t>
            </w:r>
          </w:p>
        </w:tc>
        <w:tc>
          <w:tcPr>
            <w:tcW w:w="1665" w:type="dxa"/>
            <w:vAlign w:val="center"/>
          </w:tcPr>
          <w:p>
            <w:pPr>
              <w:widowControl/>
              <w:snapToGrid w:val="0"/>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widowControl/>
              <w:autoSpaceDE w:val="0"/>
              <w:snapToGrid w:val="0"/>
              <w:jc w:val="center"/>
              <w:textAlignment w:val="baseline"/>
              <w:rPr>
                <w:rFonts w:ascii="宋体" w:hAnsi="宋体"/>
                <w:kern w:val="0"/>
                <w:sz w:val="18"/>
                <w:szCs w:val="18"/>
              </w:rPr>
            </w:pPr>
          </w:p>
        </w:tc>
        <w:tc>
          <w:tcPr>
            <w:tcW w:w="5954" w:type="dxa"/>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餐饮具清洗消毒后ATP检测是否合格</w:t>
            </w:r>
          </w:p>
        </w:tc>
        <w:tc>
          <w:tcPr>
            <w:tcW w:w="1665" w:type="dxa"/>
            <w:vAlign w:val="center"/>
          </w:tcPr>
          <w:p>
            <w:pPr>
              <w:widowControl/>
              <w:snapToGrid w:val="0"/>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widowControl/>
              <w:autoSpaceDE w:val="0"/>
              <w:snapToGrid w:val="0"/>
              <w:jc w:val="center"/>
              <w:textAlignment w:val="baseline"/>
              <w:rPr>
                <w:rFonts w:ascii="宋体" w:hAnsi="宋体"/>
                <w:kern w:val="0"/>
                <w:sz w:val="18"/>
                <w:szCs w:val="18"/>
              </w:rPr>
            </w:pPr>
          </w:p>
        </w:tc>
        <w:tc>
          <w:tcPr>
            <w:tcW w:w="5954" w:type="dxa"/>
            <w:vAlign w:val="center"/>
          </w:tcPr>
          <w:p>
            <w:pPr>
              <w:widowControl/>
              <w:autoSpaceDE w:val="0"/>
              <w:snapToGrid w:val="0"/>
              <w:jc w:val="center"/>
              <w:textAlignment w:val="baseline"/>
              <w:rPr>
                <w:rFonts w:ascii="宋体" w:hAnsi="宋体"/>
                <w:kern w:val="0"/>
                <w:sz w:val="18"/>
                <w:szCs w:val="18"/>
              </w:rPr>
            </w:pPr>
            <w:r>
              <w:rPr>
                <w:rFonts w:hint="eastAsia" w:ascii="宋体" w:hAnsi="宋体"/>
                <w:kern w:val="0"/>
                <w:sz w:val="18"/>
                <w:szCs w:val="18"/>
              </w:rPr>
              <w:t>已消毒的餐饮具是否存放在专用保洁设施内</w:t>
            </w:r>
          </w:p>
        </w:tc>
        <w:tc>
          <w:tcPr>
            <w:tcW w:w="1665" w:type="dxa"/>
            <w:vAlign w:val="center"/>
          </w:tcPr>
          <w:p>
            <w:pPr>
              <w:widowControl/>
              <w:snapToGrid w:val="0"/>
              <w:jc w:val="center"/>
              <w:rPr>
                <w:rFonts w:ascii="宋体" w:hAnsi="宋体"/>
                <w:kern w:val="0"/>
                <w:sz w:val="18"/>
                <w:szCs w:val="18"/>
              </w:rPr>
            </w:pPr>
          </w:p>
        </w:tc>
      </w:tr>
    </w:tbl>
    <w:p>
      <w:pPr>
        <w:widowControl/>
        <w:snapToGrid w:val="0"/>
        <w:jc w:val="center"/>
        <w:rPr>
          <w:rFonts w:ascii="Times New Roman" w:hAnsi="Times New Roman" w:eastAsia="黑体"/>
          <w:kern w:val="21"/>
          <w:szCs w:val="20"/>
        </w:rPr>
      </w:pPr>
    </w:p>
    <w:p>
      <w:pPr>
        <w:widowControl/>
        <w:snapToGrid w:val="0"/>
        <w:jc w:val="center"/>
        <w:rPr>
          <w:rFonts w:ascii="宋体" w:hAnsi="宋体" w:eastAsia="黑体"/>
          <w:kern w:val="0"/>
          <w:sz w:val="18"/>
          <w:szCs w:val="18"/>
        </w:rPr>
      </w:pPr>
      <w:r>
        <w:rPr>
          <w:rFonts w:ascii="Times New Roman" w:hAnsi="Times New Roman" w:eastAsia="黑体"/>
          <w:kern w:val="21"/>
          <w:szCs w:val="20"/>
        </w:rPr>
        <w:t>表</w:t>
      </w:r>
      <w:r>
        <w:rPr>
          <w:rFonts w:hint="eastAsia" w:ascii="Times New Roman" w:hAnsi="Times New Roman" w:eastAsia="黑体"/>
          <w:kern w:val="21"/>
          <w:szCs w:val="20"/>
        </w:rPr>
        <w:t>C</w:t>
      </w:r>
      <w:r>
        <w:rPr>
          <w:rFonts w:ascii="Times New Roman" w:hAnsi="Times New Roman" w:eastAsia="黑体"/>
          <w:kern w:val="21"/>
          <w:szCs w:val="20"/>
        </w:rPr>
        <w:t xml:space="preserve">.1 </w:t>
      </w:r>
      <w:r>
        <w:rPr>
          <w:rFonts w:hint="eastAsia" w:ascii="Times New Roman" w:hAnsi="Times New Roman" w:eastAsia="黑体"/>
          <w:kern w:val="21"/>
          <w:szCs w:val="20"/>
        </w:rPr>
        <w:t>重大活动餐饮服务食品安全监督记录表（续）</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5954"/>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restart"/>
            <w:vAlign w:val="center"/>
          </w:tcPr>
          <w:p>
            <w:pPr>
              <w:widowControl/>
              <w:autoSpaceDE w:val="0"/>
              <w:snapToGrid w:val="0"/>
              <w:spacing w:line="240" w:lineRule="auto"/>
              <w:jc w:val="center"/>
              <w:textAlignment w:val="baseline"/>
              <w:rPr>
                <w:rFonts w:ascii="宋体" w:hAnsi="宋体"/>
                <w:kern w:val="0"/>
                <w:sz w:val="18"/>
                <w:szCs w:val="18"/>
              </w:rPr>
            </w:pPr>
          </w:p>
        </w:tc>
        <w:tc>
          <w:tcPr>
            <w:tcW w:w="5954" w:type="dxa"/>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实际供应菜品是否与审定的菜谱一致</w:t>
            </w:r>
          </w:p>
        </w:tc>
        <w:tc>
          <w:tcPr>
            <w:tcW w:w="1665" w:type="dxa"/>
            <w:vAlign w:val="center"/>
          </w:tcPr>
          <w:p>
            <w:pPr>
              <w:widowControl/>
              <w:snapToGrid w:val="0"/>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widowControl/>
              <w:autoSpaceDE w:val="0"/>
              <w:snapToGrid w:val="0"/>
              <w:spacing w:line="240" w:lineRule="auto"/>
              <w:jc w:val="center"/>
              <w:textAlignment w:val="baseline"/>
              <w:rPr>
                <w:rFonts w:ascii="宋体" w:hAnsi="宋体"/>
                <w:kern w:val="0"/>
                <w:sz w:val="18"/>
                <w:szCs w:val="18"/>
              </w:rPr>
            </w:pPr>
          </w:p>
        </w:tc>
        <w:tc>
          <w:tcPr>
            <w:tcW w:w="5954" w:type="dxa"/>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备餐区是否清洁</w:t>
            </w:r>
          </w:p>
        </w:tc>
        <w:tc>
          <w:tcPr>
            <w:tcW w:w="1665" w:type="dxa"/>
            <w:vAlign w:val="center"/>
          </w:tcPr>
          <w:p>
            <w:pPr>
              <w:widowControl/>
              <w:snapToGrid w:val="0"/>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widowControl/>
              <w:autoSpaceDE w:val="0"/>
              <w:snapToGrid w:val="0"/>
              <w:spacing w:line="240" w:lineRule="auto"/>
              <w:jc w:val="center"/>
              <w:textAlignment w:val="baseline"/>
              <w:rPr>
                <w:rFonts w:ascii="宋体" w:hAnsi="宋体"/>
                <w:kern w:val="0"/>
                <w:sz w:val="18"/>
                <w:szCs w:val="18"/>
              </w:rPr>
            </w:pPr>
          </w:p>
        </w:tc>
        <w:tc>
          <w:tcPr>
            <w:tcW w:w="5954" w:type="dxa"/>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就餐区是否清洁</w:t>
            </w:r>
          </w:p>
        </w:tc>
        <w:tc>
          <w:tcPr>
            <w:tcW w:w="1665" w:type="dxa"/>
            <w:vAlign w:val="center"/>
          </w:tcPr>
          <w:p>
            <w:pPr>
              <w:widowControl/>
              <w:snapToGrid w:val="0"/>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widowControl/>
              <w:autoSpaceDE w:val="0"/>
              <w:snapToGrid w:val="0"/>
              <w:spacing w:line="240" w:lineRule="auto"/>
              <w:jc w:val="center"/>
              <w:textAlignment w:val="baseline"/>
              <w:rPr>
                <w:rFonts w:ascii="宋体" w:hAnsi="宋体"/>
                <w:kern w:val="0"/>
                <w:sz w:val="18"/>
                <w:szCs w:val="18"/>
              </w:rPr>
            </w:pPr>
          </w:p>
        </w:tc>
        <w:tc>
          <w:tcPr>
            <w:tcW w:w="5954" w:type="dxa"/>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就餐区是否有防蝇、防虫等设施</w:t>
            </w:r>
          </w:p>
        </w:tc>
        <w:tc>
          <w:tcPr>
            <w:tcW w:w="1665" w:type="dxa"/>
            <w:vAlign w:val="center"/>
          </w:tcPr>
          <w:p>
            <w:pPr>
              <w:widowControl/>
              <w:snapToGrid w:val="0"/>
              <w:jc w:val="center"/>
              <w:rPr>
                <w:rFonts w:ascii="宋体" w:hAnsi="宋体"/>
                <w:kern w:val="0"/>
                <w:sz w:val="18"/>
                <w:szCs w:val="18"/>
              </w:rPr>
            </w:pPr>
          </w:p>
        </w:tc>
      </w:tr>
    </w:tbl>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adjustRightInd/>
        <w:spacing w:before="312" w:beforeLines="100" w:after="312" w:afterLines="100" w:line="240" w:lineRule="auto"/>
        <w:jc w:val="center"/>
        <w:outlineLvl w:val="0"/>
        <w:rPr>
          <w:rFonts w:ascii="黑体" w:hAnsi="Times New Roman" w:eastAsia="黑体"/>
          <w:kern w:val="0"/>
          <w:szCs w:val="20"/>
        </w:rPr>
      </w:pPr>
      <w:bookmarkStart w:id="86" w:name="_Toc105509190"/>
      <w:r>
        <w:rPr>
          <w:rFonts w:hint="eastAsia" w:ascii="黑体" w:hAnsi="Times New Roman" w:eastAsia="黑体"/>
          <w:kern w:val="0"/>
          <w:szCs w:val="20"/>
        </w:rPr>
        <w:t>附  录 D</w:t>
      </w:r>
      <w:r>
        <w:rPr>
          <w:rFonts w:ascii="黑体" w:hAnsi="Times New Roman" w:eastAsia="黑体"/>
          <w:kern w:val="0"/>
          <w:szCs w:val="20"/>
        </w:rPr>
        <w:br w:type="textWrapping"/>
      </w:r>
      <w:r>
        <w:rPr>
          <w:rFonts w:ascii="黑体" w:hAnsi="Times New Roman" w:eastAsia="黑体"/>
          <w:kern w:val="0"/>
          <w:szCs w:val="20"/>
        </w:rPr>
        <w:t>（规范性）</w:t>
      </w:r>
      <w:r>
        <w:rPr>
          <w:rFonts w:ascii="黑体" w:hAnsi="Times New Roman" w:eastAsia="黑体"/>
          <w:kern w:val="0"/>
          <w:szCs w:val="20"/>
        </w:rPr>
        <w:br w:type="textWrapping"/>
      </w:r>
      <w:r>
        <w:rPr>
          <w:rFonts w:hint="eastAsia" w:ascii="黑体" w:hAnsi="Times New Roman" w:eastAsia="黑体"/>
          <w:kern w:val="0"/>
          <w:szCs w:val="20"/>
        </w:rPr>
        <w:t>推荐性重大活动餐饮服务禁用食品清单</w:t>
      </w:r>
      <w:bookmarkEnd w:id="86"/>
    </w:p>
    <w:p>
      <w:pPr>
        <w:widowControl/>
        <w:snapToGrid w:val="0"/>
        <w:spacing w:line="240" w:lineRule="auto"/>
        <w:ind w:firstLine="420" w:firstLineChars="200"/>
        <w:rPr>
          <w:rFonts w:ascii="Times New Roman" w:hAnsi="Times New Roman"/>
          <w:kern w:val="0"/>
        </w:rPr>
      </w:pPr>
      <w:r>
        <w:rPr>
          <w:rFonts w:hint="eastAsia" w:ascii="Times New Roman" w:hAnsi="Times New Roman"/>
          <w:kern w:val="0"/>
        </w:rPr>
        <w:t>除《中华人民共和国食品安全法》等法律、法规及规章规定的禁止生产经营的食品外，建议重大活动餐饮服务提供者不提供或使用以下清单中所列食品、食品原料、食品添加剂等。</w:t>
      </w:r>
    </w:p>
    <w:p>
      <w:pPr>
        <w:widowControl/>
        <w:snapToGrid w:val="0"/>
        <w:spacing w:line="240" w:lineRule="auto"/>
        <w:rPr>
          <w:rFonts w:ascii="Times New Roman" w:hAnsi="Times New Roman"/>
          <w:kern w:val="0"/>
        </w:rPr>
      </w:pPr>
      <w:r>
        <w:rPr>
          <w:rFonts w:hint="eastAsia" w:ascii="黑体" w:hAnsi="黑体" w:eastAsia="黑体" w:cs="黑体"/>
          <w:kern w:val="0"/>
        </w:rPr>
        <w:t xml:space="preserve">D.1 </w:t>
      </w:r>
      <w:r>
        <w:rPr>
          <w:rFonts w:hint="eastAsia" w:ascii="Times New Roman" w:hAnsi="Times New Roman"/>
          <w:kern w:val="0"/>
        </w:rPr>
        <w:t xml:space="preserve"> 食品类</w:t>
      </w:r>
    </w:p>
    <w:p>
      <w:pPr>
        <w:widowControl/>
        <w:snapToGrid w:val="0"/>
        <w:spacing w:line="240" w:lineRule="auto"/>
        <w:rPr>
          <w:rFonts w:ascii="宋体" w:hAnsi="宋体" w:cs="宋体"/>
          <w:kern w:val="0"/>
        </w:rPr>
      </w:pPr>
      <w:r>
        <w:rPr>
          <w:rFonts w:hint="eastAsia" w:ascii="宋体" w:hAnsi="宋体" w:cs="宋体"/>
          <w:kern w:val="0"/>
        </w:rPr>
        <w:t>a)</w:t>
      </w:r>
      <w:r>
        <w:rPr>
          <w:rFonts w:hint="eastAsia" w:ascii="宋体" w:hAnsi="宋体" w:cs="宋体"/>
          <w:kern w:val="0"/>
        </w:rPr>
        <w:tab/>
      </w:r>
      <w:r>
        <w:rPr>
          <w:rFonts w:hint="eastAsia" w:ascii="宋体" w:hAnsi="宋体" w:cs="宋体"/>
          <w:kern w:val="0"/>
        </w:rPr>
        <w:t>非本单位加工的直接入口食品，如熟制卤菜、凉拌菜、熟制米面制品等；</w:t>
      </w:r>
    </w:p>
    <w:p>
      <w:pPr>
        <w:widowControl/>
        <w:snapToGrid w:val="0"/>
        <w:spacing w:line="240" w:lineRule="auto"/>
        <w:rPr>
          <w:rFonts w:ascii="宋体" w:hAnsi="宋体" w:cs="宋体"/>
          <w:kern w:val="0"/>
        </w:rPr>
      </w:pPr>
      <w:r>
        <w:rPr>
          <w:rFonts w:hint="eastAsia" w:ascii="宋体" w:hAnsi="宋体" w:cs="宋体"/>
          <w:kern w:val="0"/>
        </w:rPr>
        <w:t>b)</w:t>
      </w:r>
      <w:r>
        <w:rPr>
          <w:rFonts w:hint="eastAsia" w:ascii="宋体" w:hAnsi="宋体" w:cs="宋体"/>
          <w:kern w:val="0"/>
        </w:rPr>
        <w:tab/>
      </w:r>
      <w:r>
        <w:rPr>
          <w:rFonts w:hint="eastAsia" w:ascii="宋体" w:hAnsi="宋体" w:cs="宋体"/>
          <w:kern w:val="0"/>
        </w:rPr>
        <w:t>直接入口的生食水产品，如海蜇、海带、海产贝类、深海鱼、虾、蟹类等；</w:t>
      </w:r>
    </w:p>
    <w:p>
      <w:pPr>
        <w:widowControl/>
        <w:snapToGrid w:val="0"/>
        <w:spacing w:line="240" w:lineRule="auto"/>
        <w:rPr>
          <w:rFonts w:ascii="Times New Roman" w:hAnsi="Times New Roman"/>
          <w:kern w:val="0"/>
        </w:rPr>
      </w:pPr>
      <w:r>
        <w:rPr>
          <w:rFonts w:hint="eastAsia" w:ascii="宋体" w:hAnsi="宋体" w:cs="宋体"/>
          <w:kern w:val="0"/>
        </w:rPr>
        <w:t>c)</w:t>
      </w:r>
      <w:r>
        <w:rPr>
          <w:rFonts w:hint="eastAsia" w:ascii="Times New Roman" w:hAnsi="Times New Roman"/>
          <w:kern w:val="0"/>
        </w:rPr>
        <w:tab/>
      </w:r>
      <w:r>
        <w:rPr>
          <w:rFonts w:hint="eastAsia" w:ascii="Times New Roman" w:hAnsi="Times New Roman"/>
          <w:kern w:val="0"/>
        </w:rPr>
        <w:t>未经许可的各类药膳。</w:t>
      </w:r>
    </w:p>
    <w:p>
      <w:pPr>
        <w:widowControl/>
        <w:snapToGrid w:val="0"/>
        <w:spacing w:line="240" w:lineRule="auto"/>
        <w:rPr>
          <w:rFonts w:ascii="Times New Roman" w:hAnsi="Times New Roman"/>
          <w:kern w:val="0"/>
        </w:rPr>
      </w:pPr>
      <w:r>
        <w:rPr>
          <w:rFonts w:hint="eastAsia" w:ascii="黑体" w:hAnsi="黑体" w:eastAsia="黑体" w:cs="黑体"/>
          <w:kern w:val="0"/>
        </w:rPr>
        <w:t>D.2</w:t>
      </w:r>
      <w:r>
        <w:rPr>
          <w:rFonts w:hint="eastAsia" w:ascii="Times New Roman" w:hAnsi="Times New Roman"/>
          <w:kern w:val="0"/>
        </w:rPr>
        <w:t xml:space="preserve">  食品原料类</w:t>
      </w:r>
    </w:p>
    <w:p>
      <w:pPr>
        <w:widowControl/>
        <w:snapToGrid w:val="0"/>
        <w:spacing w:line="240" w:lineRule="auto"/>
        <w:rPr>
          <w:rFonts w:ascii="宋体" w:hAnsi="宋体" w:cs="宋体"/>
          <w:kern w:val="0"/>
        </w:rPr>
      </w:pPr>
      <w:r>
        <w:rPr>
          <w:rFonts w:hint="eastAsia" w:ascii="宋体" w:hAnsi="宋体" w:cs="宋体"/>
          <w:kern w:val="0"/>
        </w:rPr>
        <w:t>a)</w:t>
      </w:r>
      <w:r>
        <w:rPr>
          <w:rFonts w:hint="eastAsia" w:ascii="宋体" w:hAnsi="宋体" w:cs="宋体"/>
          <w:kern w:val="0"/>
        </w:rPr>
        <w:tab/>
      </w:r>
      <w:r>
        <w:rPr>
          <w:rFonts w:hint="eastAsia" w:ascii="宋体" w:hAnsi="宋体" w:cs="宋体"/>
          <w:kern w:val="0"/>
        </w:rPr>
        <w:t>野生蘑菇；</w:t>
      </w:r>
    </w:p>
    <w:p>
      <w:pPr>
        <w:widowControl/>
        <w:snapToGrid w:val="0"/>
        <w:spacing w:line="240" w:lineRule="auto"/>
        <w:rPr>
          <w:rFonts w:ascii="宋体" w:hAnsi="宋体" w:cs="宋体"/>
          <w:kern w:val="0"/>
        </w:rPr>
      </w:pPr>
      <w:r>
        <w:rPr>
          <w:rFonts w:hint="eastAsia" w:ascii="宋体" w:hAnsi="宋体" w:cs="宋体"/>
          <w:kern w:val="0"/>
        </w:rPr>
        <w:t>b)</w:t>
      </w:r>
      <w:r>
        <w:rPr>
          <w:rFonts w:hint="eastAsia" w:ascii="宋体" w:hAnsi="宋体" w:cs="宋体"/>
          <w:kern w:val="0"/>
        </w:rPr>
        <w:tab/>
      </w:r>
      <w:r>
        <w:rPr>
          <w:rFonts w:hint="eastAsia" w:ascii="宋体" w:hAnsi="宋体" w:cs="宋体"/>
          <w:kern w:val="0"/>
        </w:rPr>
        <w:t>加工前已经死亡的甲鱼、黄鳝、虾、蟹等；</w:t>
      </w:r>
    </w:p>
    <w:p>
      <w:pPr>
        <w:widowControl/>
        <w:snapToGrid w:val="0"/>
        <w:spacing w:line="240" w:lineRule="auto"/>
        <w:rPr>
          <w:rFonts w:ascii="Times New Roman" w:hAnsi="Times New Roman"/>
          <w:kern w:val="0"/>
        </w:rPr>
      </w:pPr>
      <w:r>
        <w:rPr>
          <w:rFonts w:hint="eastAsia" w:ascii="宋体" w:hAnsi="宋体" w:cs="宋体"/>
          <w:kern w:val="0"/>
        </w:rPr>
        <w:t>c)</w:t>
      </w:r>
      <w:r>
        <w:rPr>
          <w:rFonts w:hint="eastAsia" w:ascii="宋体" w:hAnsi="宋体" w:cs="宋体"/>
          <w:kern w:val="0"/>
        </w:rPr>
        <w:tab/>
      </w:r>
      <w:r>
        <w:rPr>
          <w:rFonts w:hint="eastAsia" w:ascii="宋体" w:hAnsi="宋体" w:cs="宋体"/>
          <w:kern w:val="0"/>
        </w:rPr>
        <w:t>河豚</w:t>
      </w:r>
      <w:r>
        <w:rPr>
          <w:rFonts w:hint="eastAsia" w:ascii="Times New Roman" w:hAnsi="Times New Roman"/>
          <w:kern w:val="0"/>
        </w:rPr>
        <w:t>鱼；</w:t>
      </w:r>
    </w:p>
    <w:p>
      <w:pPr>
        <w:widowControl/>
        <w:snapToGrid w:val="0"/>
        <w:spacing w:line="240" w:lineRule="auto"/>
        <w:rPr>
          <w:rFonts w:ascii="Times New Roman" w:hAnsi="Times New Roman"/>
          <w:kern w:val="0"/>
        </w:rPr>
      </w:pPr>
      <w:r>
        <w:rPr>
          <w:rFonts w:hint="eastAsia" w:ascii="宋体" w:hAnsi="宋体" w:cs="宋体"/>
          <w:kern w:val="0"/>
        </w:rPr>
        <w:t>d)</w:t>
      </w:r>
      <w:r>
        <w:rPr>
          <w:rFonts w:hint="eastAsia" w:ascii="Times New Roman" w:hAnsi="Times New Roman"/>
          <w:kern w:val="0"/>
        </w:rPr>
        <w:tab/>
      </w:r>
      <w:r>
        <w:rPr>
          <w:rFonts w:hint="eastAsia" w:ascii="Times New Roman" w:hAnsi="Times New Roman"/>
          <w:kern w:val="0"/>
        </w:rPr>
        <w:t>木薯、发芽的马铃薯。</w:t>
      </w:r>
    </w:p>
    <w:p>
      <w:pPr>
        <w:widowControl/>
        <w:snapToGrid w:val="0"/>
        <w:spacing w:line="240" w:lineRule="auto"/>
        <w:rPr>
          <w:rFonts w:ascii="Times New Roman" w:hAnsi="Times New Roman"/>
          <w:kern w:val="0"/>
        </w:rPr>
      </w:pPr>
      <w:r>
        <w:rPr>
          <w:rFonts w:hint="eastAsia" w:ascii="黑体" w:hAnsi="黑体" w:eastAsia="黑体" w:cs="黑体"/>
          <w:kern w:val="0"/>
        </w:rPr>
        <w:t xml:space="preserve">D.3 </w:t>
      </w:r>
      <w:r>
        <w:rPr>
          <w:rFonts w:hint="eastAsia" w:ascii="Times New Roman" w:hAnsi="Times New Roman"/>
          <w:kern w:val="0"/>
        </w:rPr>
        <w:t xml:space="preserve"> 食品添加剂类</w:t>
      </w:r>
    </w:p>
    <w:p>
      <w:pPr>
        <w:widowControl/>
        <w:snapToGrid w:val="0"/>
        <w:spacing w:line="240" w:lineRule="auto"/>
        <w:rPr>
          <w:rFonts w:ascii="宋体" w:hAnsi="宋体" w:cs="宋体"/>
          <w:kern w:val="0"/>
        </w:rPr>
      </w:pPr>
      <w:r>
        <w:rPr>
          <w:rFonts w:hint="eastAsia" w:ascii="宋体" w:hAnsi="宋体" w:cs="宋体"/>
          <w:kern w:val="0"/>
        </w:rPr>
        <w:t>a)</w:t>
      </w:r>
      <w:r>
        <w:rPr>
          <w:rFonts w:hint="eastAsia" w:ascii="宋体" w:hAnsi="宋体" w:cs="宋体"/>
          <w:kern w:val="0"/>
        </w:rPr>
        <w:tab/>
      </w:r>
      <w:r>
        <w:rPr>
          <w:rFonts w:hint="eastAsia" w:ascii="宋体" w:hAnsi="宋体" w:cs="宋体"/>
          <w:kern w:val="0"/>
        </w:rPr>
        <w:t>硝酸钠、硝酸钾；</w:t>
      </w:r>
    </w:p>
    <w:p>
      <w:pPr>
        <w:widowControl/>
        <w:snapToGrid w:val="0"/>
        <w:spacing w:line="240" w:lineRule="auto"/>
        <w:rPr>
          <w:rFonts w:ascii="宋体" w:hAnsi="宋体" w:cs="宋体"/>
          <w:kern w:val="0"/>
        </w:rPr>
      </w:pPr>
      <w:r>
        <w:rPr>
          <w:rFonts w:hint="eastAsia" w:ascii="宋体" w:hAnsi="宋体" w:cs="宋体"/>
          <w:kern w:val="0"/>
        </w:rPr>
        <w:t>b)</w:t>
      </w:r>
      <w:r>
        <w:rPr>
          <w:rFonts w:hint="eastAsia" w:ascii="宋体" w:hAnsi="宋体" w:cs="宋体"/>
          <w:kern w:val="0"/>
        </w:rPr>
        <w:tab/>
      </w:r>
      <w:r>
        <w:rPr>
          <w:rFonts w:hint="eastAsia" w:ascii="宋体" w:hAnsi="宋体" w:cs="宋体"/>
          <w:kern w:val="0"/>
        </w:rPr>
        <w:t>亚硝酸钠、亚硝酸钾。</w:t>
      </w:r>
    </w:p>
    <w:p>
      <w:pPr>
        <w:widowControl/>
        <w:snapToGrid w:val="0"/>
        <w:spacing w:line="240" w:lineRule="auto"/>
        <w:rPr>
          <w:rFonts w:ascii="Times New Roman" w:hAnsi="Times New Roman"/>
          <w:kern w:val="0"/>
        </w:rPr>
      </w:pPr>
      <w:r>
        <w:rPr>
          <w:rFonts w:hint="eastAsia" w:ascii="黑体" w:hAnsi="黑体" w:eastAsia="黑体" w:cs="黑体"/>
          <w:kern w:val="0"/>
        </w:rPr>
        <w:t xml:space="preserve">D.4 </w:t>
      </w:r>
      <w:r>
        <w:rPr>
          <w:rFonts w:hint="eastAsia" w:ascii="Times New Roman" w:hAnsi="Times New Roman"/>
          <w:kern w:val="0"/>
        </w:rPr>
        <w:t xml:space="preserve"> 其他</w:t>
      </w:r>
    </w:p>
    <w:p>
      <w:pPr>
        <w:widowControl/>
        <w:snapToGrid w:val="0"/>
        <w:spacing w:line="240" w:lineRule="auto"/>
        <w:rPr>
          <w:rFonts w:ascii="Times New Roman" w:hAnsi="Times New Roman"/>
          <w:kern w:val="0"/>
        </w:rPr>
      </w:pPr>
      <w:r>
        <w:rPr>
          <w:rFonts w:hint="eastAsia" w:ascii="Times New Roman" w:hAnsi="Times New Roman"/>
          <w:kern w:val="0"/>
        </w:rPr>
        <w:t xml:space="preserve">    其他不符合食品安全标准的食品、食品原料、食品添加剂。</w:t>
      </w:r>
    </w:p>
    <w:sectPr>
      <w:headerReference r:id="rId21" w:type="first"/>
      <w:footerReference r:id="rId24" w:type="first"/>
      <w:headerReference r:id="rId19" w:type="default"/>
      <w:footerReference r:id="rId22" w:type="default"/>
      <w:headerReference r:id="rId20" w:type="even"/>
      <w:footerReference r:id="rId23" w:type="even"/>
      <w:pgSz w:w="11906" w:h="16838"/>
      <w:pgMar w:top="567" w:right="1134" w:bottom="1134" w:left="1134" w:header="1418" w:footer="1134" w:gutter="284"/>
      <w:pgNumType w:start="1"/>
      <w:cols w:space="425" w:num="1"/>
      <w:formProt w:val="0"/>
      <w:titlePg/>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720"/>
      <w:jc w:val="both"/>
      <w:rPr>
        <w:sz w:val="2"/>
        <w:szCs w:val="2"/>
      </w:rPr>
    </w:pPr>
    <w:r>
      <w:rPr>
        <w:sz w:val="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rPr>
        <w:rFonts w:hint="eastAsia"/>
      </w:rPr>
      <w:t>Ⅰ</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6"/>
      <w:rPr>
        <w:rStyle w:val="33"/>
      </w:rPr>
    </w:pPr>
    <w:r>
      <w:rPr>
        <w:rFonts w:hint="eastAsia" w:ascii="宋体" w:hAnsi="宋体" w:cs="宋体"/>
      </w:rPr>
      <w:t>Ⅱ</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7"/>
      <w:jc w:val="center"/>
      <w:rPr>
        <w:rStyle w:val="33"/>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fldChar w:fldCharType="begin"/>
    </w:r>
    <w:r>
      <w:instrText xml:space="preserve">PAGE   \* MERGEFORMAT</w:instrText>
    </w:r>
    <w:r>
      <w:fldChar w:fldCharType="separate"/>
    </w:r>
    <w:r>
      <w:rPr>
        <w:lang w:val="zh-CN"/>
      </w:rPr>
      <w:t>V</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550586998"/>
                          </w:sdtPr>
                          <w:sdtContent>
                            <w:p>
                              <w:pPr>
                                <w:pStyle w:val="20"/>
                              </w:pPr>
                              <w:r>
                                <w:fldChar w:fldCharType="begin"/>
                              </w:r>
                              <w:r>
                                <w:instrText xml:space="preserve">PAGE   \* MERGEFORMAT</w:instrText>
                              </w:r>
                              <w:r>
                                <w:fldChar w:fldCharType="separate"/>
                              </w:r>
                              <w:r>
                                <w:rPr>
                                  <w:lang w:val="zh-CN"/>
                                </w:rPr>
                                <w:t>7</w:t>
                              </w:r>
                              <w: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550586998"/>
                    </w:sdtPr>
                    <w:sdtContent>
                      <w:p>
                        <w:pPr>
                          <w:pStyle w:val="20"/>
                        </w:pPr>
                        <w:r>
                          <w:fldChar w:fldCharType="begin"/>
                        </w:r>
                        <w:r>
                          <w:instrText xml:space="preserve">PAGE   \* MERGEFORMAT</w:instrText>
                        </w:r>
                        <w:r>
                          <w:fldChar w:fldCharType="separate"/>
                        </w:r>
                        <w:r>
                          <w:rPr>
                            <w:lang w:val="zh-CN"/>
                          </w:rPr>
                          <w:t>7</w:t>
                        </w:r>
                        <w:r>
                          <w:fldChar w:fldCharType="end"/>
                        </w:r>
                      </w:p>
                    </w:sdtContent>
                  </w:sdt>
                  <w:p/>
                </w:txbxContent>
              </v:textbox>
            </v:shape>
          </w:pict>
        </mc:Fallback>
      </mc:AlternateContent>
    </w:r>
  </w:p>
  <w:p>
    <w:pPr>
      <w:pStyle w:val="5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pPr>
    <w:r>
      <w:fldChar w:fldCharType="begin"/>
    </w:r>
    <w:r>
      <w:instrText xml:space="preserve"> STYLEREF  标准文件_文件编号  \* MERGEFORMAT </w:instrText>
    </w:r>
    <w:r>
      <w:fldChar w:fldCharType="separate"/>
    </w:r>
    <w:r>
      <w:t>DB42/T XXXXX—XXXX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pPr>
    <w:r>
      <w:fldChar w:fldCharType="begin"/>
    </w:r>
    <w:r>
      <w:instrText xml:space="preserve"> STYLEREF  标准文件_文件编号  \* MERGEFORMAT </w:instrText>
    </w:r>
    <w:r>
      <w:fldChar w:fldCharType="separate"/>
    </w:r>
    <w:r>
      <w:t>DB42/T XXXXX—XXXX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ind w:right="210"/>
    </w:pPr>
    <w:r>
      <w:fldChar w:fldCharType="begin"/>
    </w:r>
    <w:r>
      <w:instrText xml:space="preserve"> STYLEREF  标准文件_文件编号  \* MERGEFORMAT </w:instrText>
    </w:r>
    <w:r>
      <w:fldChar w:fldCharType="separate"/>
    </w:r>
    <w:r>
      <w:t>DB42/T XXXXX—XXXX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rPr>
        <w:i/>
      </w:rPr>
    </w:pPr>
    <w:r>
      <w:fldChar w:fldCharType="begin"/>
    </w:r>
    <w:r>
      <w:instrText xml:space="preserve"> STYLEREF  标准文件_文件编号 \* MERGEFORMAT </w:instrText>
    </w:r>
    <w:r>
      <w:fldChar w:fldCharType="separate"/>
    </w:r>
    <w:r>
      <w:t>DB42/T XXXXX—XXXX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rPr>
        <w:rFonts w:eastAsia="宋体"/>
        <w:sz w:val="2"/>
        <w:szCs w:val="2"/>
      </w:rPr>
    </w:pPr>
    <w:r>
      <w:rPr>
        <w:rFonts w:hint="eastAsia"/>
        <w:sz w:val="2"/>
        <w:szCs w:val="2"/>
      </w:rPr>
      <w:t xml:space="preserve">                                                                                                                                                                                                                                                                                                                                                                                                                                                                                                                                                                                                                                                                                                                                                                          </w:t>
    </w:r>
    <w:r>
      <w:fldChar w:fldCharType="begin"/>
    </w:r>
    <w:r>
      <w:instrText xml:space="preserve"> STYLEREF  标准文件_文件编号 \* MERGEFORMAT </w:instrText>
    </w:r>
    <w:r>
      <w:fldChar w:fldCharType="separate"/>
    </w:r>
    <w:r>
      <w:t>DB42/T XXXXX—XXXX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1FC91163"/>
    <w:multiLevelType w:val="multilevel"/>
    <w:tmpl w:val="1FC91163"/>
    <w:lvl w:ilvl="0" w:tentative="0">
      <w:start w:val="1"/>
      <w:numFmt w:val="decimal"/>
      <w:pStyle w:val="236"/>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35"/>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237"/>
      <w:suff w:val="nothing"/>
      <w:lvlText w:val="%1.%2.%3　"/>
      <w:lvlJc w:val="left"/>
      <w:pPr>
        <w:ind w:left="141"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238"/>
      <w:suff w:val="nothing"/>
      <w:lvlText w:val="%1.%2.%3.%4.%5　"/>
      <w:lvlJc w:val="left"/>
      <w:pPr>
        <w:ind w:left="0" w:firstLine="0"/>
      </w:pPr>
      <w:rPr>
        <w:rFonts w:hint="eastAsia" w:ascii="黑体" w:hAnsi="Times New Roman" w:eastAsia="黑体"/>
        <w:b w:val="0"/>
        <w:i w:val="0"/>
        <w:sz w:val="21"/>
      </w:rPr>
    </w:lvl>
    <w:lvl w:ilvl="5" w:tentative="0">
      <w:start w:val="1"/>
      <w:numFmt w:val="decimal"/>
      <w:pStyle w:val="239"/>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0B55DC2"/>
    <w:multiLevelType w:val="multilevel"/>
    <w:tmpl w:val="60B55DC2"/>
    <w:lvl w:ilvl="0" w:tentative="0">
      <w:start w:val="1"/>
      <w:numFmt w:val="upperLetter"/>
      <w:lvlText w:val="%1"/>
      <w:lvlJc w:val="left"/>
      <w:pPr>
        <w:tabs>
          <w:tab w:val="left" w:pos="0"/>
        </w:tabs>
        <w:ind w:left="0" w:hanging="425"/>
      </w:pPr>
      <w:rPr>
        <w:rFonts w:hint="eastAsia"/>
      </w:rPr>
    </w:lvl>
    <w:lvl w:ilvl="1" w:tentative="0">
      <w:start w:val="1"/>
      <w:numFmt w:val="decimal"/>
      <w:pStyle w:val="249"/>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2">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3">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4">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5">
    <w:nsid w:val="657D3FBC"/>
    <w:multiLevelType w:val="multilevel"/>
    <w:tmpl w:val="657D3FBC"/>
    <w:lvl w:ilvl="0" w:tentative="0">
      <w:start w:val="1"/>
      <w:numFmt w:val="upperLetter"/>
      <w:pStyle w:val="79"/>
      <w:suff w:val="nothing"/>
      <w:lvlText w:val="附录%1"/>
      <w:lvlJc w:val="left"/>
      <w:pPr>
        <w:ind w:left="0"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7">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CEA2025"/>
    <w:multiLevelType w:val="multilevel"/>
    <w:tmpl w:val="6CEA2025"/>
    <w:lvl w:ilvl="0" w:tentative="0">
      <w:start w:val="1"/>
      <w:numFmt w:val="none"/>
      <w:pStyle w:val="242"/>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8"/>
      <w:suff w:val="nothing"/>
      <w:lvlText w:val="%1%2.%3.%4　"/>
      <w:lvlJc w:val="left"/>
      <w:pPr>
        <w:ind w:left="0"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0">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1">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2">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9"/>
  </w:num>
  <w:num w:numId="3">
    <w:abstractNumId w:val="5"/>
  </w:num>
  <w:num w:numId="4">
    <w:abstractNumId w:val="25"/>
  </w:num>
  <w:num w:numId="5">
    <w:abstractNumId w:val="19"/>
  </w:num>
  <w:num w:numId="6">
    <w:abstractNumId w:val="14"/>
  </w:num>
  <w:num w:numId="7">
    <w:abstractNumId w:val="8"/>
  </w:num>
  <w:num w:numId="8">
    <w:abstractNumId w:val="3"/>
  </w:num>
  <w:num w:numId="9">
    <w:abstractNumId w:val="9"/>
  </w:num>
  <w:num w:numId="10">
    <w:abstractNumId w:val="17"/>
  </w:num>
  <w:num w:numId="11">
    <w:abstractNumId w:val="27"/>
  </w:num>
  <w:num w:numId="12">
    <w:abstractNumId w:val="12"/>
  </w:num>
  <w:num w:numId="13">
    <w:abstractNumId w:val="13"/>
  </w:num>
  <w:num w:numId="14">
    <w:abstractNumId w:val="7"/>
  </w:num>
  <w:num w:numId="15">
    <w:abstractNumId w:val="20"/>
  </w:num>
  <w:num w:numId="16">
    <w:abstractNumId w:val="23"/>
  </w:num>
  <w:num w:numId="17">
    <w:abstractNumId w:val="18"/>
  </w:num>
  <w:num w:numId="18">
    <w:abstractNumId w:val="31"/>
  </w:num>
  <w:num w:numId="19">
    <w:abstractNumId w:val="16"/>
  </w:num>
  <w:num w:numId="20">
    <w:abstractNumId w:val="1"/>
  </w:num>
  <w:num w:numId="21">
    <w:abstractNumId w:val="11"/>
  </w:num>
  <w:num w:numId="22">
    <w:abstractNumId w:val="32"/>
  </w:num>
  <w:num w:numId="23">
    <w:abstractNumId w:val="22"/>
  </w:num>
  <w:num w:numId="24">
    <w:abstractNumId w:val="6"/>
  </w:num>
  <w:num w:numId="25">
    <w:abstractNumId w:val="28"/>
  </w:num>
  <w:num w:numId="26">
    <w:abstractNumId w:val="30"/>
  </w:num>
  <w:num w:numId="27">
    <w:abstractNumId w:val="2"/>
  </w:num>
  <w:num w:numId="28">
    <w:abstractNumId w:val="4"/>
  </w:num>
  <w:num w:numId="29">
    <w:abstractNumId w:val="15"/>
  </w:num>
  <w:num w:numId="30">
    <w:abstractNumId w:val="26"/>
  </w:num>
  <w:num w:numId="31">
    <w:abstractNumId w:val="24"/>
  </w:num>
  <w:num w:numId="32">
    <w:abstractNumId w:val="10"/>
  </w:num>
  <w:num w:numId="33">
    <w:abstractNumId w:val="21"/>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1YmE4MDFhZmQzNzRlYTAxN2UzOWFiNjJhYzBiOTMifQ=="/>
  </w:docVars>
  <w:rsids>
    <w:rsidRoot w:val="00E4227D"/>
    <w:rsid w:val="0000040A"/>
    <w:rsid w:val="00000A94"/>
    <w:rsid w:val="00001972"/>
    <w:rsid w:val="00001D9A"/>
    <w:rsid w:val="00007B3A"/>
    <w:rsid w:val="000107E0"/>
    <w:rsid w:val="00010EA3"/>
    <w:rsid w:val="00011FDE"/>
    <w:rsid w:val="00012FFD"/>
    <w:rsid w:val="00014162"/>
    <w:rsid w:val="00014340"/>
    <w:rsid w:val="00016A9C"/>
    <w:rsid w:val="00022184"/>
    <w:rsid w:val="00022762"/>
    <w:rsid w:val="000238E0"/>
    <w:rsid w:val="000249DB"/>
    <w:rsid w:val="0002595E"/>
    <w:rsid w:val="000303C3"/>
    <w:rsid w:val="000331D3"/>
    <w:rsid w:val="00033ECB"/>
    <w:rsid w:val="000346A5"/>
    <w:rsid w:val="000359C3"/>
    <w:rsid w:val="00035A7D"/>
    <w:rsid w:val="000365ED"/>
    <w:rsid w:val="00041F1B"/>
    <w:rsid w:val="0004249A"/>
    <w:rsid w:val="00043282"/>
    <w:rsid w:val="00044286"/>
    <w:rsid w:val="00047F28"/>
    <w:rsid w:val="000503AA"/>
    <w:rsid w:val="000506A1"/>
    <w:rsid w:val="000515DD"/>
    <w:rsid w:val="0005265A"/>
    <w:rsid w:val="00052D08"/>
    <w:rsid w:val="000539DD"/>
    <w:rsid w:val="00053BD3"/>
    <w:rsid w:val="00054111"/>
    <w:rsid w:val="000556ED"/>
    <w:rsid w:val="00055FE2"/>
    <w:rsid w:val="0005616F"/>
    <w:rsid w:val="00060B79"/>
    <w:rsid w:val="00060C2E"/>
    <w:rsid w:val="00061033"/>
    <w:rsid w:val="000619E9"/>
    <w:rsid w:val="000622D4"/>
    <w:rsid w:val="00063038"/>
    <w:rsid w:val="0006357D"/>
    <w:rsid w:val="00067F1E"/>
    <w:rsid w:val="00071CC0"/>
    <w:rsid w:val="00073C8C"/>
    <w:rsid w:val="000741AA"/>
    <w:rsid w:val="00077B64"/>
    <w:rsid w:val="00080A1C"/>
    <w:rsid w:val="00082317"/>
    <w:rsid w:val="00083D2C"/>
    <w:rsid w:val="00086AA1"/>
    <w:rsid w:val="00086C08"/>
    <w:rsid w:val="00087A77"/>
    <w:rsid w:val="00090CA6"/>
    <w:rsid w:val="00092B8A"/>
    <w:rsid w:val="00092FB0"/>
    <w:rsid w:val="000934C5"/>
    <w:rsid w:val="00093D25"/>
    <w:rsid w:val="00093DAB"/>
    <w:rsid w:val="00094D73"/>
    <w:rsid w:val="0009574E"/>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5897"/>
    <w:rsid w:val="000D753B"/>
    <w:rsid w:val="000E4C9E"/>
    <w:rsid w:val="000E6FD7"/>
    <w:rsid w:val="000F06E1"/>
    <w:rsid w:val="000F0E3C"/>
    <w:rsid w:val="000F19D5"/>
    <w:rsid w:val="000F4429"/>
    <w:rsid w:val="000F4AEA"/>
    <w:rsid w:val="000F67E9"/>
    <w:rsid w:val="00100BCF"/>
    <w:rsid w:val="00104926"/>
    <w:rsid w:val="00110226"/>
    <w:rsid w:val="00113AC3"/>
    <w:rsid w:val="00113B1E"/>
    <w:rsid w:val="0011711C"/>
    <w:rsid w:val="00124E4F"/>
    <w:rsid w:val="001260B7"/>
    <w:rsid w:val="001265CB"/>
    <w:rsid w:val="001321C6"/>
    <w:rsid w:val="001325C4"/>
    <w:rsid w:val="00133010"/>
    <w:rsid w:val="001338EE"/>
    <w:rsid w:val="00133AAE"/>
    <w:rsid w:val="00135323"/>
    <w:rsid w:val="001356C4"/>
    <w:rsid w:val="0014059F"/>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108"/>
    <w:rsid w:val="001852C9"/>
    <w:rsid w:val="00190087"/>
    <w:rsid w:val="001913C4"/>
    <w:rsid w:val="0019348F"/>
    <w:rsid w:val="00193A07"/>
    <w:rsid w:val="00194C95"/>
    <w:rsid w:val="00195C34"/>
    <w:rsid w:val="00196EF5"/>
    <w:rsid w:val="001A1A53"/>
    <w:rsid w:val="001A234A"/>
    <w:rsid w:val="001A27BF"/>
    <w:rsid w:val="001A4CF3"/>
    <w:rsid w:val="001B06E8"/>
    <w:rsid w:val="001B71D0"/>
    <w:rsid w:val="001B71EE"/>
    <w:rsid w:val="001C04A8"/>
    <w:rsid w:val="001C2C03"/>
    <w:rsid w:val="001C2D21"/>
    <w:rsid w:val="001C42F7"/>
    <w:rsid w:val="001C49E5"/>
    <w:rsid w:val="001C648E"/>
    <w:rsid w:val="001C680C"/>
    <w:rsid w:val="001C70BB"/>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0783F"/>
    <w:rsid w:val="00210B15"/>
    <w:rsid w:val="002142EA"/>
    <w:rsid w:val="002204BB"/>
    <w:rsid w:val="00221B79"/>
    <w:rsid w:val="00221C6B"/>
    <w:rsid w:val="00223CDC"/>
    <w:rsid w:val="002253A1"/>
    <w:rsid w:val="00225CF8"/>
    <w:rsid w:val="0022794E"/>
    <w:rsid w:val="00227B4B"/>
    <w:rsid w:val="00233D64"/>
    <w:rsid w:val="002341A8"/>
    <w:rsid w:val="0023482A"/>
    <w:rsid w:val="002359CB"/>
    <w:rsid w:val="00237B3B"/>
    <w:rsid w:val="00243540"/>
    <w:rsid w:val="0024497B"/>
    <w:rsid w:val="0024515B"/>
    <w:rsid w:val="00246021"/>
    <w:rsid w:val="0024666E"/>
    <w:rsid w:val="00247F52"/>
    <w:rsid w:val="00250B25"/>
    <w:rsid w:val="00250BBE"/>
    <w:rsid w:val="002515C2"/>
    <w:rsid w:val="0025194F"/>
    <w:rsid w:val="00255339"/>
    <w:rsid w:val="0026148A"/>
    <w:rsid w:val="00262696"/>
    <w:rsid w:val="00263D25"/>
    <w:rsid w:val="002643C3"/>
    <w:rsid w:val="00264A0C"/>
    <w:rsid w:val="00266EEB"/>
    <w:rsid w:val="00267EF4"/>
    <w:rsid w:val="00270CB8"/>
    <w:rsid w:val="00272B08"/>
    <w:rsid w:val="0027794F"/>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30AB"/>
    <w:rsid w:val="002D42B5"/>
    <w:rsid w:val="002D4F1A"/>
    <w:rsid w:val="002D6EC6"/>
    <w:rsid w:val="002D79AC"/>
    <w:rsid w:val="002E039D"/>
    <w:rsid w:val="002E4D5A"/>
    <w:rsid w:val="002E6326"/>
    <w:rsid w:val="002F30E0"/>
    <w:rsid w:val="002F35E4"/>
    <w:rsid w:val="002F3730"/>
    <w:rsid w:val="002F38E1"/>
    <w:rsid w:val="002F6577"/>
    <w:rsid w:val="002F7AF6"/>
    <w:rsid w:val="00300E63"/>
    <w:rsid w:val="00302F5F"/>
    <w:rsid w:val="0030441D"/>
    <w:rsid w:val="00306063"/>
    <w:rsid w:val="00313B85"/>
    <w:rsid w:val="00317988"/>
    <w:rsid w:val="003221B4"/>
    <w:rsid w:val="0032258D"/>
    <w:rsid w:val="00322E62"/>
    <w:rsid w:val="00324D13"/>
    <w:rsid w:val="00324EDD"/>
    <w:rsid w:val="003331E4"/>
    <w:rsid w:val="00334BDC"/>
    <w:rsid w:val="00336C64"/>
    <w:rsid w:val="00337162"/>
    <w:rsid w:val="0034194F"/>
    <w:rsid w:val="00344605"/>
    <w:rsid w:val="003474AA"/>
    <w:rsid w:val="00350D1D"/>
    <w:rsid w:val="00352C83"/>
    <w:rsid w:val="00354B75"/>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4F94"/>
    <w:rsid w:val="003974EB"/>
    <w:rsid w:val="00397CC5"/>
    <w:rsid w:val="003A141C"/>
    <w:rsid w:val="003A1582"/>
    <w:rsid w:val="003A19E5"/>
    <w:rsid w:val="003A3689"/>
    <w:rsid w:val="003A4077"/>
    <w:rsid w:val="003B09AD"/>
    <w:rsid w:val="003B1F18"/>
    <w:rsid w:val="003B327A"/>
    <w:rsid w:val="003B5BF0"/>
    <w:rsid w:val="003B606A"/>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5229"/>
    <w:rsid w:val="003E660F"/>
    <w:rsid w:val="003F0841"/>
    <w:rsid w:val="003F23D3"/>
    <w:rsid w:val="003F3B6E"/>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96A"/>
    <w:rsid w:val="00452D6B"/>
    <w:rsid w:val="00454484"/>
    <w:rsid w:val="0045517B"/>
    <w:rsid w:val="00463B77"/>
    <w:rsid w:val="00463C7B"/>
    <w:rsid w:val="004644A6"/>
    <w:rsid w:val="004659BD"/>
    <w:rsid w:val="00470775"/>
    <w:rsid w:val="004746B1"/>
    <w:rsid w:val="00475612"/>
    <w:rsid w:val="0047583F"/>
    <w:rsid w:val="00475DE8"/>
    <w:rsid w:val="00481C44"/>
    <w:rsid w:val="00484936"/>
    <w:rsid w:val="00484D7A"/>
    <w:rsid w:val="00485C89"/>
    <w:rsid w:val="00486BE3"/>
    <w:rsid w:val="004905E4"/>
    <w:rsid w:val="00490A89"/>
    <w:rsid w:val="00490AB4"/>
    <w:rsid w:val="00492F02"/>
    <w:rsid w:val="004939AE"/>
    <w:rsid w:val="004A12DF"/>
    <w:rsid w:val="004A1BA8"/>
    <w:rsid w:val="004A4B57"/>
    <w:rsid w:val="004A63FA"/>
    <w:rsid w:val="004B0272"/>
    <w:rsid w:val="004B2701"/>
    <w:rsid w:val="004B2E1B"/>
    <w:rsid w:val="004B3AA8"/>
    <w:rsid w:val="004B3E93"/>
    <w:rsid w:val="004B7C62"/>
    <w:rsid w:val="004C1FBC"/>
    <w:rsid w:val="004C3F1D"/>
    <w:rsid w:val="004C458D"/>
    <w:rsid w:val="004C7556"/>
    <w:rsid w:val="004C7E8B"/>
    <w:rsid w:val="004C7E9D"/>
    <w:rsid w:val="004C7F67"/>
    <w:rsid w:val="004D076D"/>
    <w:rsid w:val="004D0EF1"/>
    <w:rsid w:val="004D2253"/>
    <w:rsid w:val="004D4406"/>
    <w:rsid w:val="004D7492"/>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091"/>
    <w:rsid w:val="00516B0B"/>
    <w:rsid w:val="005220EC"/>
    <w:rsid w:val="00523F95"/>
    <w:rsid w:val="00524D65"/>
    <w:rsid w:val="00525B16"/>
    <w:rsid w:val="00532164"/>
    <w:rsid w:val="00533D04"/>
    <w:rsid w:val="005340C5"/>
    <w:rsid w:val="00534804"/>
    <w:rsid w:val="00534BDF"/>
    <w:rsid w:val="005354EA"/>
    <w:rsid w:val="0053585F"/>
    <w:rsid w:val="00535EC4"/>
    <w:rsid w:val="00535ED9"/>
    <w:rsid w:val="0053692B"/>
    <w:rsid w:val="00541853"/>
    <w:rsid w:val="00543BDA"/>
    <w:rsid w:val="005441CC"/>
    <w:rsid w:val="005479DA"/>
    <w:rsid w:val="00547BCC"/>
    <w:rsid w:val="0055013B"/>
    <w:rsid w:val="00550DC2"/>
    <w:rsid w:val="00551F6F"/>
    <w:rsid w:val="00555044"/>
    <w:rsid w:val="00561475"/>
    <w:rsid w:val="0056487B"/>
    <w:rsid w:val="00564FB9"/>
    <w:rsid w:val="00573D9E"/>
    <w:rsid w:val="005801E3"/>
    <w:rsid w:val="00581802"/>
    <w:rsid w:val="005836A8"/>
    <w:rsid w:val="0058409C"/>
    <w:rsid w:val="00584262"/>
    <w:rsid w:val="00586630"/>
    <w:rsid w:val="00587ADD"/>
    <w:rsid w:val="00596160"/>
    <w:rsid w:val="005966E2"/>
    <w:rsid w:val="00597007"/>
    <w:rsid w:val="005A04A3"/>
    <w:rsid w:val="005A0966"/>
    <w:rsid w:val="005A11B7"/>
    <w:rsid w:val="005A260B"/>
    <w:rsid w:val="005A4A1B"/>
    <w:rsid w:val="005A5656"/>
    <w:rsid w:val="005A7830"/>
    <w:rsid w:val="005A7FCE"/>
    <w:rsid w:val="005B0F3F"/>
    <w:rsid w:val="005B3962"/>
    <w:rsid w:val="005B4903"/>
    <w:rsid w:val="005B51CE"/>
    <w:rsid w:val="005B5885"/>
    <w:rsid w:val="005B5CD7"/>
    <w:rsid w:val="005B6CF6"/>
    <w:rsid w:val="005B7422"/>
    <w:rsid w:val="005B7D20"/>
    <w:rsid w:val="005C29B8"/>
    <w:rsid w:val="005C5F21"/>
    <w:rsid w:val="005C7156"/>
    <w:rsid w:val="005D0C75"/>
    <w:rsid w:val="005D0DDD"/>
    <w:rsid w:val="005D4171"/>
    <w:rsid w:val="005D6A95"/>
    <w:rsid w:val="005D6B2C"/>
    <w:rsid w:val="005D6D9C"/>
    <w:rsid w:val="005E2335"/>
    <w:rsid w:val="005E34CA"/>
    <w:rsid w:val="005E3C18"/>
    <w:rsid w:val="005E5233"/>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482A"/>
    <w:rsid w:val="006252D8"/>
    <w:rsid w:val="006259BC"/>
    <w:rsid w:val="0062636B"/>
    <w:rsid w:val="0063196A"/>
    <w:rsid w:val="00632182"/>
    <w:rsid w:val="00632AE0"/>
    <w:rsid w:val="00633C17"/>
    <w:rsid w:val="00634D9E"/>
    <w:rsid w:val="00636E3E"/>
    <w:rsid w:val="006379F7"/>
    <w:rsid w:val="00637E4D"/>
    <w:rsid w:val="00640620"/>
    <w:rsid w:val="00641A1F"/>
    <w:rsid w:val="006440AA"/>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010"/>
    <w:rsid w:val="006816A4"/>
    <w:rsid w:val="006819B8"/>
    <w:rsid w:val="006840A6"/>
    <w:rsid w:val="006847BC"/>
    <w:rsid w:val="006850CD"/>
    <w:rsid w:val="00685AAB"/>
    <w:rsid w:val="006861CC"/>
    <w:rsid w:val="00697611"/>
    <w:rsid w:val="006A07AA"/>
    <w:rsid w:val="006A25E5"/>
    <w:rsid w:val="006A2B46"/>
    <w:rsid w:val="006A336D"/>
    <w:rsid w:val="006A37B9"/>
    <w:rsid w:val="006B0684"/>
    <w:rsid w:val="006B2672"/>
    <w:rsid w:val="006B54BF"/>
    <w:rsid w:val="006B5877"/>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D7D03"/>
    <w:rsid w:val="006E3607"/>
    <w:rsid w:val="006F03A8"/>
    <w:rsid w:val="006F2ACA"/>
    <w:rsid w:val="006F2ADC"/>
    <w:rsid w:val="006F2BFE"/>
    <w:rsid w:val="006F31E9"/>
    <w:rsid w:val="006F6284"/>
    <w:rsid w:val="007002C5"/>
    <w:rsid w:val="00704387"/>
    <w:rsid w:val="00706A17"/>
    <w:rsid w:val="00707669"/>
    <w:rsid w:val="00711CBA"/>
    <w:rsid w:val="00711FB5"/>
    <w:rsid w:val="00712A01"/>
    <w:rsid w:val="00714F58"/>
    <w:rsid w:val="00722FBF"/>
    <w:rsid w:val="00722FC2"/>
    <w:rsid w:val="00724879"/>
    <w:rsid w:val="00724E1B"/>
    <w:rsid w:val="00724F5A"/>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DC9"/>
    <w:rsid w:val="00750EE1"/>
    <w:rsid w:val="00752B4D"/>
    <w:rsid w:val="00755402"/>
    <w:rsid w:val="00756B26"/>
    <w:rsid w:val="00756EDF"/>
    <w:rsid w:val="007600E3"/>
    <w:rsid w:val="007602AD"/>
    <w:rsid w:val="00765C43"/>
    <w:rsid w:val="00765EFB"/>
    <w:rsid w:val="007671CA"/>
    <w:rsid w:val="00767C61"/>
    <w:rsid w:val="0077008A"/>
    <w:rsid w:val="00773C1F"/>
    <w:rsid w:val="00774DA4"/>
    <w:rsid w:val="00776599"/>
    <w:rsid w:val="0078114B"/>
    <w:rsid w:val="00781DD2"/>
    <w:rsid w:val="00783ECF"/>
    <w:rsid w:val="0078413A"/>
    <w:rsid w:val="007863C6"/>
    <w:rsid w:val="007959E8"/>
    <w:rsid w:val="00795E9C"/>
    <w:rsid w:val="007A0521"/>
    <w:rsid w:val="007A2E12"/>
    <w:rsid w:val="007A3475"/>
    <w:rsid w:val="007A41C8"/>
    <w:rsid w:val="007A54CE"/>
    <w:rsid w:val="007A6FD9"/>
    <w:rsid w:val="007A7FFA"/>
    <w:rsid w:val="007B04EB"/>
    <w:rsid w:val="007B0D4F"/>
    <w:rsid w:val="007B11BC"/>
    <w:rsid w:val="007B27AB"/>
    <w:rsid w:val="007B5A3D"/>
    <w:rsid w:val="007B5B95"/>
    <w:rsid w:val="007B68EA"/>
    <w:rsid w:val="007B7453"/>
    <w:rsid w:val="007C2D89"/>
    <w:rsid w:val="007C4593"/>
    <w:rsid w:val="007C5309"/>
    <w:rsid w:val="007C53FD"/>
    <w:rsid w:val="007C6069"/>
    <w:rsid w:val="007C657D"/>
    <w:rsid w:val="007D06C4"/>
    <w:rsid w:val="007D1352"/>
    <w:rsid w:val="007D2508"/>
    <w:rsid w:val="007D346A"/>
    <w:rsid w:val="007D6518"/>
    <w:rsid w:val="007D76BD"/>
    <w:rsid w:val="007E0BF1"/>
    <w:rsid w:val="007E24CC"/>
    <w:rsid w:val="007E497C"/>
    <w:rsid w:val="007F0ED8"/>
    <w:rsid w:val="007F0F63"/>
    <w:rsid w:val="007F2341"/>
    <w:rsid w:val="007F75CE"/>
    <w:rsid w:val="008013A4"/>
    <w:rsid w:val="008027CE"/>
    <w:rsid w:val="00802F42"/>
    <w:rsid w:val="00804383"/>
    <w:rsid w:val="00804BB7"/>
    <w:rsid w:val="00804D41"/>
    <w:rsid w:val="00806292"/>
    <w:rsid w:val="0080797A"/>
    <w:rsid w:val="00810257"/>
    <w:rsid w:val="008104F5"/>
    <w:rsid w:val="00810E96"/>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451C"/>
    <w:rsid w:val="008373D3"/>
    <w:rsid w:val="00840617"/>
    <w:rsid w:val="00840F84"/>
    <w:rsid w:val="00842A47"/>
    <w:rsid w:val="00843C13"/>
    <w:rsid w:val="008454F8"/>
    <w:rsid w:val="0085173A"/>
    <w:rsid w:val="008522AB"/>
    <w:rsid w:val="00852A07"/>
    <w:rsid w:val="008603CE"/>
    <w:rsid w:val="008620FC"/>
    <w:rsid w:val="008627A5"/>
    <w:rsid w:val="00863E05"/>
    <w:rsid w:val="00864F20"/>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036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3AA"/>
    <w:rsid w:val="008D0CE8"/>
    <w:rsid w:val="008D2D1D"/>
    <w:rsid w:val="008D453D"/>
    <w:rsid w:val="008D4A01"/>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C0"/>
    <w:rsid w:val="00911BE5"/>
    <w:rsid w:val="00913CA9"/>
    <w:rsid w:val="009145AE"/>
    <w:rsid w:val="009146CE"/>
    <w:rsid w:val="00914CA7"/>
    <w:rsid w:val="00915C3E"/>
    <w:rsid w:val="009161A8"/>
    <w:rsid w:val="009245F5"/>
    <w:rsid w:val="009249EC"/>
    <w:rsid w:val="00926AE5"/>
    <w:rsid w:val="009273B3"/>
    <w:rsid w:val="009305B5"/>
    <w:rsid w:val="009429D5"/>
    <w:rsid w:val="00942BF1"/>
    <w:rsid w:val="00945180"/>
    <w:rsid w:val="00945428"/>
    <w:rsid w:val="0094607B"/>
    <w:rsid w:val="00953604"/>
    <w:rsid w:val="0095496B"/>
    <w:rsid w:val="009610DC"/>
    <w:rsid w:val="00961490"/>
    <w:rsid w:val="0096381A"/>
    <w:rsid w:val="00965C42"/>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1906"/>
    <w:rsid w:val="009B6029"/>
    <w:rsid w:val="009B6971"/>
    <w:rsid w:val="009C27F1"/>
    <w:rsid w:val="009C3152"/>
    <w:rsid w:val="009C385A"/>
    <w:rsid w:val="009C3EDC"/>
    <w:rsid w:val="009C4CFA"/>
    <w:rsid w:val="009C5070"/>
    <w:rsid w:val="009D112C"/>
    <w:rsid w:val="009D299D"/>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2CBD"/>
    <w:rsid w:val="00A237D5"/>
    <w:rsid w:val="00A30EFC"/>
    <w:rsid w:val="00A31984"/>
    <w:rsid w:val="00A32D73"/>
    <w:rsid w:val="00A3367B"/>
    <w:rsid w:val="00A354C0"/>
    <w:rsid w:val="00A3597D"/>
    <w:rsid w:val="00A36DD1"/>
    <w:rsid w:val="00A4006C"/>
    <w:rsid w:val="00A40091"/>
    <w:rsid w:val="00A4030F"/>
    <w:rsid w:val="00A41C79"/>
    <w:rsid w:val="00A41CB5"/>
    <w:rsid w:val="00A427CD"/>
    <w:rsid w:val="00A42CDF"/>
    <w:rsid w:val="00A4452E"/>
    <w:rsid w:val="00A4472C"/>
    <w:rsid w:val="00A44E69"/>
    <w:rsid w:val="00A4661E"/>
    <w:rsid w:val="00A55BD6"/>
    <w:rsid w:val="00A55D50"/>
    <w:rsid w:val="00A57142"/>
    <w:rsid w:val="00A648CD"/>
    <w:rsid w:val="00A6537A"/>
    <w:rsid w:val="00A65400"/>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553F"/>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1F00"/>
    <w:rsid w:val="00AE37E5"/>
    <w:rsid w:val="00AE5EB4"/>
    <w:rsid w:val="00AF0C18"/>
    <w:rsid w:val="00AF3262"/>
    <w:rsid w:val="00AF47C5"/>
    <w:rsid w:val="00AF5398"/>
    <w:rsid w:val="00B049AF"/>
    <w:rsid w:val="00B07242"/>
    <w:rsid w:val="00B10534"/>
    <w:rsid w:val="00B113DB"/>
    <w:rsid w:val="00B11D8A"/>
    <w:rsid w:val="00B12981"/>
    <w:rsid w:val="00B147DD"/>
    <w:rsid w:val="00B156FD"/>
    <w:rsid w:val="00B21F61"/>
    <w:rsid w:val="00B2294D"/>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1CB8"/>
    <w:rsid w:val="00B52120"/>
    <w:rsid w:val="00B53862"/>
    <w:rsid w:val="00B54ABC"/>
    <w:rsid w:val="00B55DFB"/>
    <w:rsid w:val="00B56FBE"/>
    <w:rsid w:val="00B60ACF"/>
    <w:rsid w:val="00B62B58"/>
    <w:rsid w:val="00B65149"/>
    <w:rsid w:val="00B66567"/>
    <w:rsid w:val="00B66F52"/>
    <w:rsid w:val="00B66FE5"/>
    <w:rsid w:val="00B72880"/>
    <w:rsid w:val="00B758BF"/>
    <w:rsid w:val="00B77E55"/>
    <w:rsid w:val="00B77EC8"/>
    <w:rsid w:val="00B827A6"/>
    <w:rsid w:val="00B831CE"/>
    <w:rsid w:val="00B86677"/>
    <w:rsid w:val="00B87131"/>
    <w:rsid w:val="00B939B1"/>
    <w:rsid w:val="00B96D40"/>
    <w:rsid w:val="00B97386"/>
    <w:rsid w:val="00BA263B"/>
    <w:rsid w:val="00BA42B2"/>
    <w:rsid w:val="00BA58D4"/>
    <w:rsid w:val="00BA5B9E"/>
    <w:rsid w:val="00BA7C9A"/>
    <w:rsid w:val="00BB1A8E"/>
    <w:rsid w:val="00BB2A58"/>
    <w:rsid w:val="00BB5F8F"/>
    <w:rsid w:val="00BB657A"/>
    <w:rsid w:val="00BC015F"/>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165A5"/>
    <w:rsid w:val="00C21540"/>
    <w:rsid w:val="00C21906"/>
    <w:rsid w:val="00C21BFA"/>
    <w:rsid w:val="00C22148"/>
    <w:rsid w:val="00C24C8D"/>
    <w:rsid w:val="00C25FE2"/>
    <w:rsid w:val="00C26B53"/>
    <w:rsid w:val="00C279B2"/>
    <w:rsid w:val="00C314BE"/>
    <w:rsid w:val="00C326B8"/>
    <w:rsid w:val="00C33E50"/>
    <w:rsid w:val="00C348D5"/>
    <w:rsid w:val="00C34C20"/>
    <w:rsid w:val="00C35A3E"/>
    <w:rsid w:val="00C42130"/>
    <w:rsid w:val="00C423A4"/>
    <w:rsid w:val="00C44BF5"/>
    <w:rsid w:val="00C50F2C"/>
    <w:rsid w:val="00C521D6"/>
    <w:rsid w:val="00C55232"/>
    <w:rsid w:val="00C553A4"/>
    <w:rsid w:val="00C55A06"/>
    <w:rsid w:val="00C55D03"/>
    <w:rsid w:val="00C601BC"/>
    <w:rsid w:val="00C6329F"/>
    <w:rsid w:val="00C63340"/>
    <w:rsid w:val="00C643F9"/>
    <w:rsid w:val="00C64E95"/>
    <w:rsid w:val="00C65D5C"/>
    <w:rsid w:val="00C70156"/>
    <w:rsid w:val="00C71372"/>
    <w:rsid w:val="00C72410"/>
    <w:rsid w:val="00C7287F"/>
    <w:rsid w:val="00C74D10"/>
    <w:rsid w:val="00C80CB8"/>
    <w:rsid w:val="00C819F8"/>
    <w:rsid w:val="00C8248C"/>
    <w:rsid w:val="00C84E33"/>
    <w:rsid w:val="00C86D6F"/>
    <w:rsid w:val="00C87DC9"/>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E4C2B"/>
    <w:rsid w:val="00CE6CB6"/>
    <w:rsid w:val="00CF048A"/>
    <w:rsid w:val="00CF155A"/>
    <w:rsid w:val="00CF2947"/>
    <w:rsid w:val="00CF42EB"/>
    <w:rsid w:val="00CF686F"/>
    <w:rsid w:val="00CF6E60"/>
    <w:rsid w:val="00CF7BCA"/>
    <w:rsid w:val="00D008FD"/>
    <w:rsid w:val="00D01046"/>
    <w:rsid w:val="00D0321C"/>
    <w:rsid w:val="00D035EC"/>
    <w:rsid w:val="00D06AB1"/>
    <w:rsid w:val="00D072ED"/>
    <w:rsid w:val="00D07A16"/>
    <w:rsid w:val="00D1067E"/>
    <w:rsid w:val="00D10F50"/>
    <w:rsid w:val="00D11272"/>
    <w:rsid w:val="00D126F5"/>
    <w:rsid w:val="00D1489E"/>
    <w:rsid w:val="00D17D7F"/>
    <w:rsid w:val="00D20737"/>
    <w:rsid w:val="00D21E81"/>
    <w:rsid w:val="00D223DE"/>
    <w:rsid w:val="00D25E37"/>
    <w:rsid w:val="00D2661A"/>
    <w:rsid w:val="00D27582"/>
    <w:rsid w:val="00D27C19"/>
    <w:rsid w:val="00D27EC4"/>
    <w:rsid w:val="00D32719"/>
    <w:rsid w:val="00D33333"/>
    <w:rsid w:val="00D352A2"/>
    <w:rsid w:val="00D4162B"/>
    <w:rsid w:val="00D44153"/>
    <w:rsid w:val="00D4514F"/>
    <w:rsid w:val="00D451E2"/>
    <w:rsid w:val="00D45E89"/>
    <w:rsid w:val="00D45E8D"/>
    <w:rsid w:val="00D466AE"/>
    <w:rsid w:val="00D4734F"/>
    <w:rsid w:val="00D509F9"/>
    <w:rsid w:val="00D51BF3"/>
    <w:rsid w:val="00D6316E"/>
    <w:rsid w:val="00D65531"/>
    <w:rsid w:val="00D66846"/>
    <w:rsid w:val="00D66E0A"/>
    <w:rsid w:val="00D675FB"/>
    <w:rsid w:val="00D71F25"/>
    <w:rsid w:val="00D72A9C"/>
    <w:rsid w:val="00D7603F"/>
    <w:rsid w:val="00D77031"/>
    <w:rsid w:val="00D84941"/>
    <w:rsid w:val="00D84FA1"/>
    <w:rsid w:val="00D851F0"/>
    <w:rsid w:val="00D86DB7"/>
    <w:rsid w:val="00D926D0"/>
    <w:rsid w:val="00D93030"/>
    <w:rsid w:val="00D950E1"/>
    <w:rsid w:val="00D952A6"/>
    <w:rsid w:val="00D977A3"/>
    <w:rsid w:val="00D97F99"/>
    <w:rsid w:val="00DA1E08"/>
    <w:rsid w:val="00DA24F8"/>
    <w:rsid w:val="00DA28E8"/>
    <w:rsid w:val="00DA38D3"/>
    <w:rsid w:val="00DA3932"/>
    <w:rsid w:val="00DA3AFC"/>
    <w:rsid w:val="00DA505C"/>
    <w:rsid w:val="00DA64F8"/>
    <w:rsid w:val="00DA6C15"/>
    <w:rsid w:val="00DB0258"/>
    <w:rsid w:val="00DB1E0C"/>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34CC"/>
    <w:rsid w:val="00DE6E81"/>
    <w:rsid w:val="00DE703F"/>
    <w:rsid w:val="00DE7595"/>
    <w:rsid w:val="00DF1961"/>
    <w:rsid w:val="00DF44DE"/>
    <w:rsid w:val="00E01138"/>
    <w:rsid w:val="00E024FD"/>
    <w:rsid w:val="00E02DFB"/>
    <w:rsid w:val="00E030F9"/>
    <w:rsid w:val="00E0311A"/>
    <w:rsid w:val="00E03138"/>
    <w:rsid w:val="00E06404"/>
    <w:rsid w:val="00E11A2D"/>
    <w:rsid w:val="00E11A85"/>
    <w:rsid w:val="00E12495"/>
    <w:rsid w:val="00E15CCD"/>
    <w:rsid w:val="00E202EF"/>
    <w:rsid w:val="00E210B5"/>
    <w:rsid w:val="00E23D99"/>
    <w:rsid w:val="00E2552F"/>
    <w:rsid w:val="00E27E52"/>
    <w:rsid w:val="00E3137A"/>
    <w:rsid w:val="00E327C1"/>
    <w:rsid w:val="00E32CCF"/>
    <w:rsid w:val="00E32CFB"/>
    <w:rsid w:val="00E33834"/>
    <w:rsid w:val="00E34A98"/>
    <w:rsid w:val="00E35D1E"/>
    <w:rsid w:val="00E364F9"/>
    <w:rsid w:val="00E365FA"/>
    <w:rsid w:val="00E36789"/>
    <w:rsid w:val="00E4227D"/>
    <w:rsid w:val="00E44A83"/>
    <w:rsid w:val="00E50142"/>
    <w:rsid w:val="00E502C1"/>
    <w:rsid w:val="00E502DD"/>
    <w:rsid w:val="00E50D3A"/>
    <w:rsid w:val="00E51387"/>
    <w:rsid w:val="00E51E68"/>
    <w:rsid w:val="00E52EFD"/>
    <w:rsid w:val="00E53543"/>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702"/>
    <w:rsid w:val="00E85BFF"/>
    <w:rsid w:val="00E90391"/>
    <w:rsid w:val="00E906C2"/>
    <w:rsid w:val="00E9311F"/>
    <w:rsid w:val="00E934D1"/>
    <w:rsid w:val="00E94AF0"/>
    <w:rsid w:val="00E95D13"/>
    <w:rsid w:val="00E95DD3"/>
    <w:rsid w:val="00E969D5"/>
    <w:rsid w:val="00EA31E6"/>
    <w:rsid w:val="00EA58D1"/>
    <w:rsid w:val="00EA61BC"/>
    <w:rsid w:val="00EA681A"/>
    <w:rsid w:val="00EA6E0B"/>
    <w:rsid w:val="00EA735B"/>
    <w:rsid w:val="00EB1E69"/>
    <w:rsid w:val="00EB2086"/>
    <w:rsid w:val="00EB5EDF"/>
    <w:rsid w:val="00EB60FE"/>
    <w:rsid w:val="00EB74DB"/>
    <w:rsid w:val="00EC5359"/>
    <w:rsid w:val="00EC562A"/>
    <w:rsid w:val="00ED067A"/>
    <w:rsid w:val="00ED2B50"/>
    <w:rsid w:val="00EE0350"/>
    <w:rsid w:val="00EE0719"/>
    <w:rsid w:val="00EE0E80"/>
    <w:rsid w:val="00EE295B"/>
    <w:rsid w:val="00EE613F"/>
    <w:rsid w:val="00EE7295"/>
    <w:rsid w:val="00EE7869"/>
    <w:rsid w:val="00EF054A"/>
    <w:rsid w:val="00EF3235"/>
    <w:rsid w:val="00EF5C2C"/>
    <w:rsid w:val="00EF7E72"/>
    <w:rsid w:val="00F06D37"/>
    <w:rsid w:val="00F07A02"/>
    <w:rsid w:val="00F07B9D"/>
    <w:rsid w:val="00F11586"/>
    <w:rsid w:val="00F1183B"/>
    <w:rsid w:val="00F11C9F"/>
    <w:rsid w:val="00F12263"/>
    <w:rsid w:val="00F1409D"/>
    <w:rsid w:val="00F14214"/>
    <w:rsid w:val="00F14648"/>
    <w:rsid w:val="00F157A9"/>
    <w:rsid w:val="00F2177B"/>
    <w:rsid w:val="00F25BB6"/>
    <w:rsid w:val="00F26B7E"/>
    <w:rsid w:val="00F27A3B"/>
    <w:rsid w:val="00F334F6"/>
    <w:rsid w:val="00F33817"/>
    <w:rsid w:val="00F3435B"/>
    <w:rsid w:val="00F343B8"/>
    <w:rsid w:val="00F420D5"/>
    <w:rsid w:val="00F451EA"/>
    <w:rsid w:val="00F45447"/>
    <w:rsid w:val="00F456C6"/>
    <w:rsid w:val="00F4577B"/>
    <w:rsid w:val="00F46496"/>
    <w:rsid w:val="00F474D0"/>
    <w:rsid w:val="00F50179"/>
    <w:rsid w:val="00F515EE"/>
    <w:rsid w:val="00F5313E"/>
    <w:rsid w:val="00F56511"/>
    <w:rsid w:val="00F601C4"/>
    <w:rsid w:val="00F6194E"/>
    <w:rsid w:val="00F623AC"/>
    <w:rsid w:val="00F6412A"/>
    <w:rsid w:val="00F65893"/>
    <w:rsid w:val="00F66A4A"/>
    <w:rsid w:val="00F71E22"/>
    <w:rsid w:val="00F72142"/>
    <w:rsid w:val="00F72AE7"/>
    <w:rsid w:val="00F833BA"/>
    <w:rsid w:val="00F84FD0"/>
    <w:rsid w:val="00F859A8"/>
    <w:rsid w:val="00F85D20"/>
    <w:rsid w:val="00F86D87"/>
    <w:rsid w:val="00F9108B"/>
    <w:rsid w:val="00F91349"/>
    <w:rsid w:val="00F93A8A"/>
    <w:rsid w:val="00F95248"/>
    <w:rsid w:val="00F956A9"/>
    <w:rsid w:val="00F963ED"/>
    <w:rsid w:val="00F966CF"/>
    <w:rsid w:val="00F96CAE"/>
    <w:rsid w:val="00F97C99"/>
    <w:rsid w:val="00FA0E81"/>
    <w:rsid w:val="00FA662D"/>
    <w:rsid w:val="00FA73B1"/>
    <w:rsid w:val="00FB0CB9"/>
    <w:rsid w:val="00FB17FE"/>
    <w:rsid w:val="00FB231D"/>
    <w:rsid w:val="00FB45F1"/>
    <w:rsid w:val="00FB4A72"/>
    <w:rsid w:val="00FB54E8"/>
    <w:rsid w:val="00FB7054"/>
    <w:rsid w:val="00FC17B7"/>
    <w:rsid w:val="00FC295F"/>
    <w:rsid w:val="00FC2CB7"/>
    <w:rsid w:val="00FC4090"/>
    <w:rsid w:val="00FC55B4"/>
    <w:rsid w:val="00FD00E6"/>
    <w:rsid w:val="00FD09A1"/>
    <w:rsid w:val="00FD2A7C"/>
    <w:rsid w:val="00FD43B1"/>
    <w:rsid w:val="00FD59EB"/>
    <w:rsid w:val="00FD6069"/>
    <w:rsid w:val="00FD7299"/>
    <w:rsid w:val="00FE1FBE"/>
    <w:rsid w:val="00FE3901"/>
    <w:rsid w:val="00FE39D3"/>
    <w:rsid w:val="00FE4BCE"/>
    <w:rsid w:val="00FE54AE"/>
    <w:rsid w:val="00FE576A"/>
    <w:rsid w:val="00FE7E79"/>
    <w:rsid w:val="00FF3E7D"/>
    <w:rsid w:val="00FF5B99"/>
    <w:rsid w:val="00FF730C"/>
    <w:rsid w:val="00FF73F4"/>
    <w:rsid w:val="00FF7CE4"/>
    <w:rsid w:val="00FF7E39"/>
    <w:rsid w:val="03762EC8"/>
    <w:rsid w:val="04DC2D07"/>
    <w:rsid w:val="05A0379B"/>
    <w:rsid w:val="09B21852"/>
    <w:rsid w:val="0A3B3FB5"/>
    <w:rsid w:val="0A613E2F"/>
    <w:rsid w:val="0F9B69F9"/>
    <w:rsid w:val="100D3C41"/>
    <w:rsid w:val="10E9721A"/>
    <w:rsid w:val="17B52CD9"/>
    <w:rsid w:val="17D73EFE"/>
    <w:rsid w:val="1C4A7B60"/>
    <w:rsid w:val="1F681A89"/>
    <w:rsid w:val="221B7907"/>
    <w:rsid w:val="27F14B00"/>
    <w:rsid w:val="280D0412"/>
    <w:rsid w:val="2A44220C"/>
    <w:rsid w:val="2B8F60C9"/>
    <w:rsid w:val="2BB90EC9"/>
    <w:rsid w:val="2BE61035"/>
    <w:rsid w:val="2D171FD8"/>
    <w:rsid w:val="328E4651"/>
    <w:rsid w:val="36475057"/>
    <w:rsid w:val="379C3988"/>
    <w:rsid w:val="381462AD"/>
    <w:rsid w:val="42236BC1"/>
    <w:rsid w:val="42935FD7"/>
    <w:rsid w:val="44A901D0"/>
    <w:rsid w:val="4678396F"/>
    <w:rsid w:val="46CF1228"/>
    <w:rsid w:val="48453CA4"/>
    <w:rsid w:val="4BA96D1A"/>
    <w:rsid w:val="4DF4099B"/>
    <w:rsid w:val="4E4E4216"/>
    <w:rsid w:val="535F189E"/>
    <w:rsid w:val="53E46D0F"/>
    <w:rsid w:val="5447761B"/>
    <w:rsid w:val="548761FD"/>
    <w:rsid w:val="55A05204"/>
    <w:rsid w:val="568B32AD"/>
    <w:rsid w:val="58A17998"/>
    <w:rsid w:val="58C92BE5"/>
    <w:rsid w:val="58E74233"/>
    <w:rsid w:val="5CDE1282"/>
    <w:rsid w:val="601860CE"/>
    <w:rsid w:val="6CF23F16"/>
    <w:rsid w:val="6D49166A"/>
    <w:rsid w:val="6E8774C1"/>
    <w:rsid w:val="70935B16"/>
    <w:rsid w:val="70DF021F"/>
    <w:rsid w:val="72DF1E34"/>
    <w:rsid w:val="75F231CB"/>
    <w:rsid w:val="782307AF"/>
    <w:rsid w:val="7A273825"/>
    <w:rsid w:val="7DAD77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4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autoRedefine/>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autoRedefine/>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autoRedefine/>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autoRedefine/>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autoRedefine/>
    <w:qFormat/>
    <w:uiPriority w:val="0"/>
    <w:pPr>
      <w:ind w:firstLine="420"/>
    </w:pPr>
  </w:style>
  <w:style w:type="paragraph" w:styleId="13">
    <w:name w:val="annotation text"/>
    <w:basedOn w:val="1"/>
    <w:autoRedefine/>
    <w:semiHidden/>
    <w:unhideWhenUsed/>
    <w:qFormat/>
    <w:uiPriority w:val="99"/>
    <w:pPr>
      <w:jc w:val="left"/>
    </w:pPr>
  </w:style>
  <w:style w:type="paragraph" w:styleId="14">
    <w:name w:val="Body Text"/>
    <w:basedOn w:val="1"/>
    <w:link w:val="89"/>
    <w:autoRedefine/>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Date"/>
    <w:basedOn w:val="1"/>
    <w:next w:val="1"/>
    <w:link w:val="250"/>
    <w:autoRedefine/>
    <w:semiHidden/>
    <w:unhideWhenUsed/>
    <w:qFormat/>
    <w:uiPriority w:val="99"/>
    <w:pPr>
      <w:ind w:left="100" w:leftChars="2500"/>
    </w:pPr>
  </w:style>
  <w:style w:type="paragraph" w:styleId="18">
    <w:name w:val="Body Text Indent 2"/>
    <w:basedOn w:val="1"/>
    <w:autoRedefine/>
    <w:qFormat/>
    <w:uiPriority w:val="0"/>
    <w:pPr>
      <w:ind w:firstLine="400" w:firstLineChars="200"/>
    </w:pPr>
    <w:rPr>
      <w:rFonts w:ascii="宋体"/>
      <w:sz w:val="20"/>
    </w:rPr>
  </w:style>
  <w:style w:type="paragraph" w:styleId="19">
    <w:name w:val="Balloon Text"/>
    <w:basedOn w:val="1"/>
    <w:link w:val="48"/>
    <w:autoRedefine/>
    <w:semiHidden/>
    <w:unhideWhenUsed/>
    <w:qFormat/>
    <w:uiPriority w:val="99"/>
    <w:rPr>
      <w:sz w:val="18"/>
      <w:szCs w:val="18"/>
    </w:rPr>
  </w:style>
  <w:style w:type="paragraph" w:styleId="20">
    <w:name w:val="footer"/>
    <w:basedOn w:val="1"/>
    <w:link w:val="47"/>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21">
    <w:name w:val="header"/>
    <w:basedOn w:val="1"/>
    <w:link w:val="46"/>
    <w:autoRedefine/>
    <w:qFormat/>
    <w:uiPriority w:val="99"/>
    <w:pPr>
      <w:tabs>
        <w:tab w:val="center" w:pos="4153"/>
        <w:tab w:val="right" w:pos="8306"/>
      </w:tabs>
      <w:adjustRightInd/>
      <w:snapToGrid w:val="0"/>
      <w:jc w:val="center"/>
    </w:pPr>
    <w:rPr>
      <w:sz w:val="18"/>
      <w:szCs w:val="18"/>
    </w:rPr>
  </w:style>
  <w:style w:type="paragraph" w:styleId="22">
    <w:name w:val="toc 1"/>
    <w:basedOn w:val="1"/>
    <w:next w:val="1"/>
    <w:autoRedefine/>
    <w:unhideWhenUsed/>
    <w:qFormat/>
    <w:uiPriority w:val="39"/>
    <w:rPr>
      <w:rFonts w:ascii="宋体"/>
    </w:rPr>
  </w:style>
  <w:style w:type="paragraph" w:styleId="23">
    <w:name w:val="toc 4"/>
    <w:basedOn w:val="1"/>
    <w:next w:val="1"/>
    <w:autoRedefine/>
    <w:unhideWhenUsed/>
    <w:qFormat/>
    <w:uiPriority w:val="39"/>
    <w:pPr>
      <w:tabs>
        <w:tab w:val="right" w:leader="dot" w:pos="9344"/>
      </w:tabs>
      <w:spacing w:line="300" w:lineRule="exact"/>
      <w:ind w:left="629"/>
    </w:pPr>
    <w:rPr>
      <w:rFonts w:ascii="宋体"/>
    </w:rPr>
  </w:style>
  <w:style w:type="paragraph" w:styleId="24">
    <w:name w:val="footnote text"/>
    <w:basedOn w:val="1"/>
    <w:next w:val="1"/>
    <w:link w:val="102"/>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5">
    <w:name w:val="toc 6"/>
    <w:basedOn w:val="1"/>
    <w:next w:val="1"/>
    <w:autoRedefine/>
    <w:unhideWhenUsed/>
    <w:qFormat/>
    <w:uiPriority w:val="39"/>
    <w:pPr>
      <w:spacing w:line="300" w:lineRule="exact"/>
      <w:ind w:left="1049"/>
    </w:pPr>
    <w:rPr>
      <w:rFonts w:ascii="宋体"/>
    </w:rPr>
  </w:style>
  <w:style w:type="paragraph" w:styleId="26">
    <w:name w:val="table of figures"/>
    <w:basedOn w:val="1"/>
    <w:next w:val="1"/>
    <w:autoRedefine/>
    <w:semiHidden/>
    <w:qFormat/>
    <w:uiPriority w:val="0"/>
    <w:pPr>
      <w:adjustRightInd/>
      <w:spacing w:line="240" w:lineRule="auto"/>
      <w:jc w:val="left"/>
    </w:pPr>
    <w:rPr>
      <w:szCs w:val="24"/>
    </w:rPr>
  </w:style>
  <w:style w:type="paragraph" w:styleId="27">
    <w:name w:val="toc 2"/>
    <w:basedOn w:val="22"/>
    <w:next w:val="1"/>
    <w:autoRedefine/>
    <w:unhideWhenUsed/>
    <w:qFormat/>
    <w:uiPriority w:val="39"/>
    <w:pPr>
      <w:tabs>
        <w:tab w:val="right" w:leader="dot" w:pos="9344"/>
      </w:tabs>
      <w:spacing w:line="300" w:lineRule="exact"/>
      <w:ind w:left="210"/>
    </w:pPr>
  </w:style>
  <w:style w:type="paragraph" w:styleId="28">
    <w:name w:val="Title"/>
    <w:basedOn w:val="1"/>
    <w:link w:val="51"/>
    <w:autoRedefine/>
    <w:qFormat/>
    <w:uiPriority w:val="0"/>
    <w:pPr>
      <w:spacing w:before="240" w:after="60"/>
      <w:jc w:val="center"/>
      <w:outlineLvl w:val="0"/>
    </w:pPr>
    <w:rPr>
      <w:rFonts w:ascii="Arial" w:hAnsi="Arial" w:cs="Arial"/>
      <w:b/>
      <w:bCs/>
      <w:sz w:val="32"/>
      <w:szCs w:val="32"/>
    </w:rPr>
  </w:style>
  <w:style w:type="table" w:styleId="30">
    <w:name w:val="Table Grid"/>
    <w:basedOn w:val="2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autoRedefine/>
    <w:qFormat/>
    <w:uiPriority w:val="22"/>
    <w:rPr>
      <w:b/>
      <w:bCs/>
    </w:rPr>
  </w:style>
  <w:style w:type="character" w:styleId="33">
    <w:name w:val="page number"/>
    <w:autoRedefine/>
    <w:qFormat/>
    <w:uiPriority w:val="0"/>
    <w:rPr>
      <w:rFonts w:ascii="宋体" w:hAnsi="Times New Roman" w:eastAsia="宋体"/>
      <w:sz w:val="18"/>
    </w:rPr>
  </w:style>
  <w:style w:type="character" w:styleId="34">
    <w:name w:val="Emphasis"/>
    <w:autoRedefine/>
    <w:qFormat/>
    <w:uiPriority w:val="20"/>
    <w:rPr>
      <w:i/>
      <w:iCs/>
    </w:rPr>
  </w:style>
  <w:style w:type="character" w:styleId="35">
    <w:name w:val="Hyperlink"/>
    <w:autoRedefine/>
    <w:qFormat/>
    <w:uiPriority w:val="99"/>
    <w:rPr>
      <w:rFonts w:ascii="宋体" w:hAnsi="Times New Roman" w:eastAsia="宋体"/>
      <w:color w:val="auto"/>
      <w:spacing w:val="0"/>
      <w:w w:val="100"/>
      <w:position w:val="0"/>
      <w:sz w:val="21"/>
      <w:u w:val="none"/>
      <w:vertAlign w:val="baseline"/>
    </w:rPr>
  </w:style>
  <w:style w:type="character" w:styleId="36">
    <w:name w:val="footnote reference"/>
    <w:autoRedefine/>
    <w:semiHidden/>
    <w:qFormat/>
    <w:uiPriority w:val="0"/>
    <w:rPr>
      <w:rFonts w:ascii="宋体" w:hAnsi="宋体" w:eastAsia="宋体" w:cs="Times New Roman"/>
      <w:spacing w:val="0"/>
      <w:sz w:val="18"/>
      <w:vertAlign w:val="superscript"/>
    </w:rPr>
  </w:style>
  <w:style w:type="character" w:customStyle="1" w:styleId="37">
    <w:name w:val="标题 1 Char"/>
    <w:link w:val="2"/>
    <w:autoRedefine/>
    <w:qFormat/>
    <w:uiPriority w:val="0"/>
    <w:rPr>
      <w:rFonts w:ascii="Times New Roman" w:hAnsi="Times New Roman" w:eastAsia="宋体" w:cs="Times New Roman"/>
      <w:b/>
      <w:bCs/>
      <w:kern w:val="44"/>
      <w:sz w:val="44"/>
      <w:szCs w:val="44"/>
    </w:rPr>
  </w:style>
  <w:style w:type="character" w:customStyle="1" w:styleId="38">
    <w:name w:val="标题 2 Char"/>
    <w:link w:val="3"/>
    <w:autoRedefine/>
    <w:qFormat/>
    <w:uiPriority w:val="0"/>
    <w:rPr>
      <w:rFonts w:ascii="Arial" w:hAnsi="Arial" w:eastAsia="黑体" w:cs="Times New Roman"/>
      <w:b/>
      <w:bCs/>
      <w:sz w:val="32"/>
      <w:szCs w:val="32"/>
    </w:rPr>
  </w:style>
  <w:style w:type="character" w:customStyle="1" w:styleId="39">
    <w:name w:val="标题 3 Char"/>
    <w:link w:val="4"/>
    <w:autoRedefine/>
    <w:qFormat/>
    <w:uiPriority w:val="0"/>
    <w:rPr>
      <w:rFonts w:ascii="Times New Roman" w:hAnsi="Times New Roman" w:eastAsia="宋体" w:cs="Times New Roman"/>
      <w:b/>
      <w:bCs/>
      <w:sz w:val="32"/>
      <w:szCs w:val="32"/>
    </w:rPr>
  </w:style>
  <w:style w:type="character" w:customStyle="1" w:styleId="40">
    <w:name w:val="标题 4 Char"/>
    <w:link w:val="5"/>
    <w:autoRedefine/>
    <w:qFormat/>
    <w:uiPriority w:val="0"/>
    <w:rPr>
      <w:rFonts w:ascii="Arial" w:hAnsi="Arial" w:eastAsia="黑体" w:cs="Times New Roman"/>
      <w:b/>
      <w:bCs/>
      <w:sz w:val="28"/>
      <w:szCs w:val="28"/>
    </w:rPr>
  </w:style>
  <w:style w:type="character" w:customStyle="1" w:styleId="41">
    <w:name w:val="标题 5 Char"/>
    <w:link w:val="6"/>
    <w:autoRedefine/>
    <w:qFormat/>
    <w:uiPriority w:val="0"/>
    <w:rPr>
      <w:rFonts w:ascii="Times New Roman" w:hAnsi="Times New Roman" w:eastAsia="宋体" w:cs="Times New Roman"/>
      <w:b/>
      <w:bCs/>
      <w:sz w:val="28"/>
      <w:szCs w:val="28"/>
    </w:rPr>
  </w:style>
  <w:style w:type="character" w:customStyle="1" w:styleId="42">
    <w:name w:val="标题 6 Char"/>
    <w:link w:val="7"/>
    <w:autoRedefine/>
    <w:qFormat/>
    <w:uiPriority w:val="0"/>
    <w:rPr>
      <w:rFonts w:ascii="Arial" w:hAnsi="Arial" w:eastAsia="黑体" w:cs="Times New Roman"/>
      <w:b/>
      <w:bCs/>
      <w:sz w:val="24"/>
      <w:szCs w:val="24"/>
    </w:rPr>
  </w:style>
  <w:style w:type="character" w:customStyle="1" w:styleId="43">
    <w:name w:val="标题 7 Char"/>
    <w:link w:val="8"/>
    <w:autoRedefine/>
    <w:qFormat/>
    <w:uiPriority w:val="0"/>
    <w:rPr>
      <w:rFonts w:ascii="Times New Roman" w:hAnsi="Times New Roman" w:eastAsia="宋体" w:cs="Times New Roman"/>
      <w:b/>
      <w:bCs/>
      <w:sz w:val="24"/>
      <w:szCs w:val="24"/>
    </w:rPr>
  </w:style>
  <w:style w:type="character" w:customStyle="1" w:styleId="44">
    <w:name w:val="标题 8 Char"/>
    <w:link w:val="9"/>
    <w:autoRedefine/>
    <w:qFormat/>
    <w:uiPriority w:val="0"/>
    <w:rPr>
      <w:rFonts w:ascii="Arial" w:hAnsi="Arial" w:eastAsia="黑体" w:cs="Times New Roman"/>
      <w:sz w:val="24"/>
      <w:szCs w:val="24"/>
    </w:rPr>
  </w:style>
  <w:style w:type="character" w:customStyle="1" w:styleId="45">
    <w:name w:val="标题 9 Char"/>
    <w:link w:val="10"/>
    <w:autoRedefine/>
    <w:qFormat/>
    <w:uiPriority w:val="0"/>
    <w:rPr>
      <w:rFonts w:ascii="Arial" w:hAnsi="Arial" w:eastAsia="黑体" w:cs="Times New Roman"/>
      <w:szCs w:val="21"/>
    </w:rPr>
  </w:style>
  <w:style w:type="character" w:customStyle="1" w:styleId="46">
    <w:name w:val="页眉 Char"/>
    <w:link w:val="21"/>
    <w:autoRedefine/>
    <w:qFormat/>
    <w:uiPriority w:val="99"/>
    <w:rPr>
      <w:rFonts w:ascii="Times New Roman" w:hAnsi="Times New Roman" w:eastAsia="宋体" w:cs="Times New Roman"/>
      <w:sz w:val="18"/>
      <w:szCs w:val="18"/>
    </w:rPr>
  </w:style>
  <w:style w:type="character" w:customStyle="1" w:styleId="47">
    <w:name w:val="页脚 Char"/>
    <w:link w:val="20"/>
    <w:autoRedefine/>
    <w:qFormat/>
    <w:uiPriority w:val="99"/>
    <w:rPr>
      <w:rFonts w:ascii="宋体" w:hAnsi="Times New Roman" w:eastAsia="宋体" w:cs="Times New Roman"/>
      <w:sz w:val="18"/>
      <w:szCs w:val="18"/>
    </w:rPr>
  </w:style>
  <w:style w:type="character" w:customStyle="1" w:styleId="48">
    <w:name w:val="批注框文本 Char"/>
    <w:link w:val="19"/>
    <w:autoRedefine/>
    <w:semiHidden/>
    <w:qFormat/>
    <w:uiPriority w:val="99"/>
    <w:rPr>
      <w:sz w:val="18"/>
      <w:szCs w:val="18"/>
    </w:rPr>
  </w:style>
  <w:style w:type="paragraph" w:styleId="49">
    <w:name w:val="Quote"/>
    <w:basedOn w:val="1"/>
    <w:next w:val="1"/>
    <w:link w:val="50"/>
    <w:autoRedefine/>
    <w:qFormat/>
    <w:uiPriority w:val="29"/>
    <w:rPr>
      <w:i/>
      <w:iCs/>
      <w:color w:val="000000"/>
    </w:rPr>
  </w:style>
  <w:style w:type="character" w:customStyle="1" w:styleId="50">
    <w:name w:val="引用 Char"/>
    <w:link w:val="49"/>
    <w:autoRedefine/>
    <w:qFormat/>
    <w:uiPriority w:val="29"/>
    <w:rPr>
      <w:i/>
      <w:iCs/>
      <w:color w:val="000000"/>
    </w:rPr>
  </w:style>
  <w:style w:type="character" w:customStyle="1" w:styleId="51">
    <w:name w:val="标题 Char"/>
    <w:link w:val="28"/>
    <w:autoRedefine/>
    <w:qFormat/>
    <w:uiPriority w:val="0"/>
    <w:rPr>
      <w:rFonts w:ascii="Arial" w:hAnsi="Arial" w:eastAsia="宋体" w:cs="Arial"/>
      <w:b/>
      <w:bCs/>
      <w:sz w:val="32"/>
      <w:szCs w:val="32"/>
    </w:rPr>
  </w:style>
  <w:style w:type="paragraph" w:customStyle="1" w:styleId="52">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autoRedefine/>
    <w:qFormat/>
    <w:uiPriority w:val="0"/>
    <w:pPr>
      <w:ind w:left="227"/>
    </w:pPr>
    <w:rPr>
      <w:rFonts w:ascii="宋体" w:hAnsi="Times New Roman" w:eastAsia="宋体" w:cs="Times New Roman"/>
      <w:sz w:val="18"/>
      <w:lang w:val="en-US" w:eastAsia="zh-CN" w:bidi="ar-SA"/>
    </w:rPr>
  </w:style>
  <w:style w:type="paragraph" w:customStyle="1" w:styleId="55">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autoRedefine/>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autoRedefine/>
    <w:qFormat/>
    <w:uiPriority w:val="0"/>
    <w:pPr>
      <w:spacing w:line="0" w:lineRule="atLeast"/>
    </w:pPr>
    <w:rPr>
      <w:rFonts w:ascii="黑体" w:hAnsi="宋体" w:eastAsia="黑体"/>
    </w:rPr>
  </w:style>
  <w:style w:type="paragraph" w:customStyle="1" w:styleId="58">
    <w:name w:val="标准文件_标准正文"/>
    <w:basedOn w:val="1"/>
    <w:next w:val="59"/>
    <w:autoRedefine/>
    <w:qFormat/>
    <w:uiPriority w:val="0"/>
    <w:pPr>
      <w:snapToGrid w:val="0"/>
      <w:ind w:firstLine="200" w:firstLineChars="200"/>
    </w:pPr>
    <w:rPr>
      <w:kern w:val="0"/>
    </w:rPr>
  </w:style>
  <w:style w:type="paragraph" w:customStyle="1" w:styleId="59">
    <w:name w:val="标准文件_段"/>
    <w:link w:val="187"/>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autoRedefine/>
    <w:qFormat/>
    <w:uiPriority w:val="0"/>
    <w:pPr>
      <w:adjustRightInd/>
      <w:snapToGrid/>
      <w:ind w:firstLine="0" w:firstLineChars="0"/>
    </w:pPr>
    <w:rPr>
      <w:rFonts w:ascii="宋体" w:hAnsi="宋体"/>
      <w:kern w:val="2"/>
    </w:rPr>
  </w:style>
  <w:style w:type="paragraph" w:customStyle="1" w:styleId="61">
    <w:name w:val="标准文件_标准部门"/>
    <w:basedOn w:val="1"/>
    <w:autoRedefine/>
    <w:qFormat/>
    <w:uiPriority w:val="0"/>
    <w:pPr>
      <w:jc w:val="center"/>
    </w:pPr>
    <w:rPr>
      <w:rFonts w:ascii="黑体" w:eastAsia="黑体"/>
      <w:kern w:val="0"/>
      <w:sz w:val="44"/>
    </w:rPr>
  </w:style>
  <w:style w:type="paragraph" w:customStyle="1" w:styleId="62">
    <w:name w:val="标准文件_标准代替"/>
    <w:basedOn w:val="1"/>
    <w:next w:val="1"/>
    <w:autoRedefine/>
    <w:qFormat/>
    <w:uiPriority w:val="0"/>
    <w:pPr>
      <w:spacing w:line="310" w:lineRule="exact"/>
      <w:jc w:val="right"/>
    </w:pPr>
    <w:rPr>
      <w:rFonts w:ascii="宋体" w:hAnsi="宋体"/>
      <w:kern w:val="0"/>
    </w:rPr>
  </w:style>
  <w:style w:type="paragraph" w:customStyle="1" w:styleId="63">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qFormat/>
    <w:uiPriority w:val="0"/>
    <w:pPr>
      <w:jc w:val="left"/>
    </w:pPr>
  </w:style>
  <w:style w:type="paragraph" w:customStyle="1" w:styleId="66">
    <w:name w:val="标准文件_参考文献标题"/>
    <w:basedOn w:val="1"/>
    <w:next w:val="1"/>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67">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autoRedefine/>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69">
    <w:name w:val="标准文件_发布"/>
    <w:autoRedefine/>
    <w:qFormat/>
    <w:uiPriority w:val="0"/>
    <w:rPr>
      <w:rFonts w:ascii="黑体" w:eastAsia="黑体"/>
      <w:spacing w:val="0"/>
      <w:w w:val="100"/>
      <w:position w:val="3"/>
      <w:sz w:val="28"/>
    </w:rPr>
  </w:style>
  <w:style w:type="paragraph" w:customStyle="1" w:styleId="70">
    <w:name w:val="标准文件_方框数字列项"/>
    <w:basedOn w:val="59"/>
    <w:qFormat/>
    <w:uiPriority w:val="0"/>
    <w:pPr>
      <w:numPr>
        <w:ilvl w:val="0"/>
        <w:numId w:val="3"/>
      </w:numPr>
      <w:ind w:firstLine="0" w:firstLineChars="0"/>
    </w:pPr>
  </w:style>
  <w:style w:type="paragraph" w:customStyle="1" w:styleId="71">
    <w:name w:val="标准文件_封面标准编号"/>
    <w:basedOn w:val="1"/>
    <w:next w:val="62"/>
    <w:qFormat/>
    <w:uiPriority w:val="0"/>
    <w:pPr>
      <w:spacing w:line="310" w:lineRule="exact"/>
      <w:jc w:val="right"/>
    </w:pPr>
    <w:rPr>
      <w:rFonts w:ascii="黑体" w:eastAsia="黑体"/>
      <w:kern w:val="0"/>
      <w:sz w:val="28"/>
    </w:rPr>
  </w:style>
  <w:style w:type="paragraph" w:customStyle="1" w:styleId="72">
    <w:name w:val="标准文件_封面标准分类号"/>
    <w:basedOn w:val="1"/>
    <w:autoRedefine/>
    <w:qFormat/>
    <w:uiPriority w:val="0"/>
    <w:rPr>
      <w:rFonts w:ascii="黑体" w:eastAsia="黑体"/>
      <w:b/>
      <w:kern w:val="0"/>
      <w:sz w:val="28"/>
    </w:rPr>
  </w:style>
  <w:style w:type="paragraph" w:customStyle="1" w:styleId="73">
    <w:name w:val="标准文件_封面标准名称"/>
    <w:basedOn w:val="1"/>
    <w:qFormat/>
    <w:uiPriority w:val="0"/>
    <w:pPr>
      <w:spacing w:line="240" w:lineRule="auto"/>
      <w:jc w:val="center"/>
    </w:pPr>
    <w:rPr>
      <w:rFonts w:ascii="黑体" w:eastAsia="黑体"/>
      <w:kern w:val="0"/>
      <w:sz w:val="52"/>
    </w:rPr>
  </w:style>
  <w:style w:type="paragraph" w:customStyle="1" w:styleId="74">
    <w:name w:val="标准文件_封面标准英文名称"/>
    <w:basedOn w:val="1"/>
    <w:qFormat/>
    <w:uiPriority w:val="0"/>
    <w:pPr>
      <w:spacing w:line="240" w:lineRule="auto"/>
      <w:jc w:val="center"/>
    </w:pPr>
    <w:rPr>
      <w:rFonts w:ascii="黑体" w:eastAsia="黑体"/>
      <w:b/>
      <w:sz w:val="28"/>
    </w:rPr>
  </w:style>
  <w:style w:type="paragraph" w:customStyle="1" w:styleId="75">
    <w:name w:val="标准文件_封面发布日期"/>
    <w:basedOn w:val="1"/>
    <w:qFormat/>
    <w:uiPriority w:val="0"/>
    <w:pPr>
      <w:spacing w:line="310" w:lineRule="exact"/>
    </w:pPr>
    <w:rPr>
      <w:rFonts w:ascii="黑体" w:eastAsia="黑体"/>
      <w:kern w:val="0"/>
      <w:sz w:val="28"/>
    </w:rPr>
  </w:style>
  <w:style w:type="paragraph" w:customStyle="1" w:styleId="76">
    <w:name w:val="标准文件_封面密级"/>
    <w:basedOn w:val="1"/>
    <w:qFormat/>
    <w:uiPriority w:val="0"/>
    <w:rPr>
      <w:rFonts w:eastAsia="黑体"/>
      <w:sz w:val="32"/>
    </w:rPr>
  </w:style>
  <w:style w:type="paragraph" w:customStyle="1" w:styleId="77">
    <w:name w:val="标准文件_封面实施日期"/>
    <w:basedOn w:val="1"/>
    <w:qFormat/>
    <w:uiPriority w:val="0"/>
    <w:pPr>
      <w:spacing w:line="310" w:lineRule="exact"/>
      <w:jc w:val="right"/>
    </w:pPr>
    <w:rPr>
      <w:rFonts w:ascii="黑体" w:eastAsia="黑体"/>
      <w:sz w:val="28"/>
    </w:rPr>
  </w:style>
  <w:style w:type="paragraph" w:customStyle="1" w:styleId="78">
    <w:name w:val="标准文件_封面抬头"/>
    <w:basedOn w:val="59"/>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autoRedefine/>
    <w:qFormat/>
    <w:uiPriority w:val="0"/>
    <w:pPr>
      <w:numPr>
        <w:ilvl w:val="0"/>
        <w:numId w:val="4"/>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qFormat/>
    <w:uiPriority w:val="0"/>
    <w:pPr>
      <w:numPr>
        <w:ilvl w:val="1"/>
        <w:numId w:val="5"/>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autoRedefine/>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autoRedefine/>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autoRedefine/>
    <w:qFormat/>
    <w:uiPriority w:val="0"/>
    <w:pPr>
      <w:numPr>
        <w:ilvl w:val="1"/>
        <w:numId w:val="6"/>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87">
    <w:name w:val="标准文件_附录五级条标题"/>
    <w:next w:val="59"/>
    <w:autoRedefine/>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autoRedefine/>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Char"/>
    <w:link w:val="14"/>
    <w:autoRedefine/>
    <w:qFormat/>
    <w:uiPriority w:val="0"/>
    <w:rPr>
      <w:rFonts w:ascii="Times New Roman" w:hAnsi="Times New Roman" w:eastAsia="宋体" w:cs="Times New Roman"/>
      <w:szCs w:val="20"/>
    </w:rPr>
  </w:style>
  <w:style w:type="paragraph" w:customStyle="1" w:styleId="90">
    <w:name w:val="标准文件_附录章标题"/>
    <w:next w:val="59"/>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qFormat/>
    <w:uiPriority w:val="0"/>
    <w:pPr>
      <w:ind w:left="488" w:leftChars="200" w:hanging="289" w:hangingChars="290"/>
    </w:pPr>
  </w:style>
  <w:style w:type="paragraph" w:customStyle="1" w:styleId="92">
    <w:name w:val="标准文件_前言、引言标题"/>
    <w:next w:val="1"/>
    <w:autoRedefine/>
    <w:qFormat/>
    <w:uiPriority w:val="0"/>
    <w:pPr>
      <w:numPr>
        <w:ilvl w:val="0"/>
        <w:numId w:val="8"/>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autoRedefine/>
    <w:qFormat/>
    <w:uiPriority w:val="0"/>
    <w:pPr>
      <w:spacing w:line="460" w:lineRule="exact"/>
    </w:pPr>
  </w:style>
  <w:style w:type="paragraph" w:customStyle="1" w:styleId="94">
    <w:name w:val="标准文件_目录标题"/>
    <w:basedOn w:val="1"/>
    <w:autoRedefine/>
    <w:qFormat/>
    <w:uiPriority w:val="0"/>
    <w:pPr>
      <w:spacing w:afterLines="150" w:line="240" w:lineRule="auto"/>
      <w:jc w:val="center"/>
    </w:pPr>
    <w:rPr>
      <w:rFonts w:ascii="黑体" w:eastAsia="黑体"/>
      <w:sz w:val="32"/>
    </w:rPr>
  </w:style>
  <w:style w:type="paragraph" w:customStyle="1" w:styleId="95">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autoRedefine/>
    <w:qFormat/>
    <w:uiPriority w:val="0"/>
    <w:pPr>
      <w:numPr>
        <w:numId w:val="10"/>
      </w:numPr>
      <w:ind w:left="0" w:firstLine="200"/>
    </w:pPr>
  </w:style>
  <w:style w:type="paragraph" w:customStyle="1" w:styleId="97">
    <w:name w:val="标准文件_三级条标题"/>
    <w:basedOn w:val="68"/>
    <w:next w:val="59"/>
    <w:qFormat/>
    <w:uiPriority w:val="0"/>
    <w:pPr>
      <w:widowControl/>
      <w:numPr>
        <w:ilvl w:val="4"/>
      </w:numPr>
      <w:outlineLvl w:val="3"/>
    </w:pPr>
  </w:style>
  <w:style w:type="character" w:customStyle="1" w:styleId="98">
    <w:name w:val="不明显参考1"/>
    <w:autoRedefine/>
    <w:qFormat/>
    <w:uiPriority w:val="31"/>
    <w:rPr>
      <w:smallCaps/>
      <w:color w:val="C0504D"/>
      <w:u w:val="single"/>
    </w:rPr>
  </w:style>
  <w:style w:type="paragraph" w:customStyle="1" w:styleId="99">
    <w:name w:val="标准文件_示例后续"/>
    <w:basedOn w:val="1"/>
    <w:autoRedefine/>
    <w:qFormat/>
    <w:uiPriority w:val="0"/>
    <w:pPr>
      <w:adjustRightInd/>
      <w:spacing w:line="240" w:lineRule="auto"/>
      <w:ind w:firstLine="200" w:firstLineChars="200"/>
    </w:pPr>
    <w:rPr>
      <w:sz w:val="18"/>
      <w:szCs w:val="24"/>
    </w:rPr>
  </w:style>
  <w:style w:type="paragraph" w:customStyle="1" w:styleId="100">
    <w:name w:val="标准文件_数字编号列项"/>
    <w:autoRedefine/>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autoRedefine/>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2">
    <w:name w:val="脚注文本 Char"/>
    <w:link w:val="24"/>
    <w:semiHidden/>
    <w:qFormat/>
    <w:uiPriority w:val="0"/>
    <w:rPr>
      <w:rFonts w:ascii="宋体" w:hAnsi="Times New Roman" w:eastAsia="宋体" w:cs="Times New Roman"/>
      <w:sz w:val="18"/>
      <w:szCs w:val="18"/>
    </w:rPr>
  </w:style>
  <w:style w:type="paragraph" w:customStyle="1" w:styleId="103">
    <w:name w:val="标准文件_条文脚注"/>
    <w:basedOn w:val="24"/>
    <w:autoRedefine/>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autoRedefine/>
    <w:qFormat/>
    <w:uiPriority w:val="0"/>
    <w:pPr>
      <w:numPr>
        <w:ilvl w:val="0"/>
        <w:numId w:val="12"/>
      </w:numPr>
      <w:spacing w:line="240" w:lineRule="auto"/>
      <w:jc w:val="left"/>
    </w:pPr>
    <w:rPr>
      <w:rFonts w:ascii="宋体" w:hAnsi="宋体"/>
      <w:sz w:val="18"/>
    </w:rPr>
  </w:style>
  <w:style w:type="character" w:customStyle="1" w:styleId="105">
    <w:name w:val="标准文件_图表脚注内容"/>
    <w:autoRedefine/>
    <w:qFormat/>
    <w:uiPriority w:val="0"/>
    <w:rPr>
      <w:rFonts w:ascii="宋体" w:hAnsi="宋体" w:eastAsia="宋体" w:cs="Times New Roman"/>
      <w:spacing w:val="0"/>
      <w:sz w:val="18"/>
      <w:vertAlign w:val="superscript"/>
    </w:rPr>
  </w:style>
  <w:style w:type="paragraph" w:customStyle="1" w:styleId="106">
    <w:name w:val="标准文件_五级条标题"/>
    <w:next w:val="59"/>
    <w:autoRedefine/>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1"/>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autoRedefine/>
    <w:qFormat/>
    <w:uiPriority w:val="0"/>
    <w:pPr>
      <w:numPr>
        <w:ilvl w:val="2"/>
      </w:numPr>
      <w:spacing w:beforeLines="50" w:afterLines="50"/>
      <w:outlineLvl w:val="1"/>
    </w:pPr>
  </w:style>
  <w:style w:type="paragraph" w:customStyle="1" w:styleId="109">
    <w:name w:val="标准文件_一致程度"/>
    <w:basedOn w:val="1"/>
    <w:qFormat/>
    <w:uiPriority w:val="0"/>
    <w:pPr>
      <w:spacing w:line="440" w:lineRule="exact"/>
      <w:jc w:val="center"/>
    </w:pPr>
    <w:rPr>
      <w:sz w:val="28"/>
    </w:rPr>
  </w:style>
  <w:style w:type="paragraph" w:customStyle="1" w:styleId="110">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autoRedefine/>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autoRedefine/>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3">
    <w:name w:val="标准文件_英文注："/>
    <w:basedOn w:val="1"/>
    <w:next w:val="59"/>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autoRedefine/>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autoRedefine/>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autoRedefine/>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autoRedefine/>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autoRedefine/>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1">
    <w:name w:val="二级无标题条"/>
    <w:basedOn w:val="1"/>
    <w:autoRedefine/>
    <w:qFormat/>
    <w:uiPriority w:val="0"/>
    <w:pPr>
      <w:numPr>
        <w:ilvl w:val="3"/>
        <w:numId w:val="20"/>
      </w:numPr>
      <w:adjustRightInd/>
      <w:spacing w:line="240" w:lineRule="auto"/>
    </w:pPr>
    <w:rPr>
      <w:rFonts w:ascii="宋体" w:hAnsi="宋体"/>
      <w:szCs w:val="24"/>
    </w:rPr>
  </w:style>
  <w:style w:type="paragraph" w:customStyle="1" w:styleId="122">
    <w:name w:val="发布部门"/>
    <w:next w:val="59"/>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autoRedefine/>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autoRedefine/>
    <w:qFormat/>
    <w:uiPriority w:val="0"/>
    <w:pPr>
      <w:outlineLvl w:val="4"/>
    </w:pPr>
  </w:style>
  <w:style w:type="paragraph" w:customStyle="1" w:styleId="133">
    <w:name w:val="附录四级无标题条"/>
    <w:basedOn w:val="132"/>
    <w:next w:val="59"/>
    <w:qFormat/>
    <w:uiPriority w:val="0"/>
    <w:pPr>
      <w:outlineLvl w:val="5"/>
    </w:pPr>
  </w:style>
  <w:style w:type="paragraph" w:customStyle="1" w:styleId="134">
    <w:name w:val="附录图"/>
    <w:next w:val="59"/>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59"/>
    <w:qFormat/>
    <w:uiPriority w:val="0"/>
    <w:pPr>
      <w:outlineLvl w:val="6"/>
    </w:pPr>
  </w:style>
  <w:style w:type="paragraph" w:customStyle="1" w:styleId="137">
    <w:name w:val="附录性质"/>
    <w:basedOn w:val="1"/>
    <w:qFormat/>
    <w:uiPriority w:val="0"/>
    <w:pPr>
      <w:widowControl/>
      <w:adjustRightInd/>
      <w:jc w:val="center"/>
    </w:pPr>
    <w:rPr>
      <w:rFonts w:ascii="黑体" w:eastAsia="黑体"/>
    </w:rPr>
  </w:style>
  <w:style w:type="paragraph" w:customStyle="1" w:styleId="138">
    <w:name w:val="附录一级无标题条"/>
    <w:basedOn w:val="90"/>
    <w:next w:val="59"/>
    <w:qFormat/>
    <w:uiPriority w:val="0"/>
    <w:pPr>
      <w:autoSpaceDN w:val="0"/>
      <w:outlineLvl w:val="2"/>
    </w:pPr>
    <w:rPr>
      <w:rFonts w:ascii="宋体" w:hAnsi="宋体" w:eastAsia="宋体"/>
    </w:rPr>
  </w:style>
  <w:style w:type="character" w:customStyle="1" w:styleId="139">
    <w:name w:val="个人答复风格"/>
    <w:qFormat/>
    <w:uiPriority w:val="0"/>
    <w:rPr>
      <w:rFonts w:ascii="Arial" w:hAnsi="Arial" w:eastAsia="宋体" w:cs="Arial"/>
      <w:color w:val="auto"/>
      <w:spacing w:val="0"/>
      <w:sz w:val="20"/>
    </w:rPr>
  </w:style>
  <w:style w:type="character" w:customStyle="1" w:styleId="140">
    <w:name w:val="个人撰写风格"/>
    <w:autoRedefine/>
    <w:qFormat/>
    <w:uiPriority w:val="0"/>
    <w:rPr>
      <w:rFonts w:ascii="Arial" w:hAnsi="Arial" w:eastAsia="宋体" w:cs="Arial"/>
      <w:color w:val="auto"/>
      <w:spacing w:val="0"/>
      <w:sz w:val="20"/>
    </w:rPr>
  </w:style>
  <w:style w:type="paragraph" w:customStyle="1" w:styleId="141">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autoRedefine/>
    <w:qFormat/>
    <w:uiPriority w:val="0"/>
    <w:pPr>
      <w:tabs>
        <w:tab w:val="left" w:pos="840"/>
      </w:tabs>
    </w:pPr>
  </w:style>
  <w:style w:type="paragraph" w:customStyle="1" w:styleId="14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semiHidden/>
    <w:qFormat/>
    <w:uiPriority w:val="0"/>
    <w:pPr>
      <w:adjustRightInd/>
      <w:spacing w:line="240" w:lineRule="auto"/>
      <w:jc w:val="left"/>
    </w:pPr>
    <w:rPr>
      <w:bCs/>
      <w:iCs/>
    </w:rPr>
  </w:style>
  <w:style w:type="paragraph" w:customStyle="1" w:styleId="146">
    <w:name w:val="目录 31"/>
    <w:basedOn w:val="1"/>
    <w:next w:val="1"/>
    <w:semiHidden/>
    <w:qFormat/>
    <w:uiPriority w:val="0"/>
    <w:pPr>
      <w:spacing w:line="240" w:lineRule="auto"/>
    </w:pPr>
    <w:rPr>
      <w:rFonts w:ascii="宋体" w:hAnsi="宋体"/>
      <w:iCs/>
    </w:rPr>
  </w:style>
  <w:style w:type="paragraph" w:customStyle="1" w:styleId="147">
    <w:name w:val="目录 41"/>
    <w:basedOn w:val="1"/>
    <w:next w:val="1"/>
    <w:semiHidden/>
    <w:qFormat/>
    <w:uiPriority w:val="0"/>
    <w:pPr>
      <w:adjustRightInd/>
      <w:spacing w:line="240" w:lineRule="auto"/>
      <w:jc w:val="left"/>
    </w:pPr>
  </w:style>
  <w:style w:type="paragraph" w:customStyle="1" w:styleId="148">
    <w:name w:val="目录 51"/>
    <w:basedOn w:val="1"/>
    <w:next w:val="1"/>
    <w:autoRedefine/>
    <w:semiHidden/>
    <w:qFormat/>
    <w:uiPriority w:val="0"/>
    <w:pPr>
      <w:spacing w:line="240" w:lineRule="auto"/>
    </w:pPr>
    <w:rPr>
      <w:rFonts w:ascii="宋体" w:hAnsi="宋体"/>
    </w:rPr>
  </w:style>
  <w:style w:type="paragraph" w:customStyle="1" w:styleId="149">
    <w:name w:val="目录 61"/>
    <w:basedOn w:val="1"/>
    <w:next w:val="1"/>
    <w:semiHidden/>
    <w:qFormat/>
    <w:uiPriority w:val="0"/>
    <w:pPr>
      <w:adjustRightInd/>
      <w:spacing w:line="240" w:lineRule="auto"/>
      <w:jc w:val="left"/>
    </w:pPr>
  </w:style>
  <w:style w:type="paragraph" w:customStyle="1" w:styleId="150">
    <w:name w:val="目录 71"/>
    <w:basedOn w:val="149"/>
    <w:semiHidden/>
    <w:qFormat/>
    <w:uiPriority w:val="0"/>
    <w:pPr>
      <w:ind w:left="1260"/>
    </w:pPr>
  </w:style>
  <w:style w:type="paragraph" w:customStyle="1" w:styleId="151">
    <w:name w:val="目录 81"/>
    <w:basedOn w:val="150"/>
    <w:semiHidden/>
    <w:qFormat/>
    <w:uiPriority w:val="0"/>
    <w:pPr>
      <w:ind w:left="1470"/>
    </w:pPr>
  </w:style>
  <w:style w:type="paragraph" w:customStyle="1" w:styleId="152">
    <w:name w:val="目录 91"/>
    <w:basedOn w:val="151"/>
    <w:semiHidden/>
    <w:qFormat/>
    <w:uiPriority w:val="0"/>
    <w:pPr>
      <w:ind w:left="1680"/>
    </w:pPr>
  </w:style>
  <w:style w:type="paragraph" w:customStyle="1" w:styleId="153">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autoRedefine/>
    <w:qFormat/>
    <w:uiPriority w:val="0"/>
    <w:pPr>
      <w:framePr w:wrap="around"/>
      <w:spacing w:line="0" w:lineRule="atLeast"/>
    </w:pPr>
    <w:rPr>
      <w:rFonts w:ascii="黑体" w:eastAsia="黑体"/>
      <w:b w:val="0"/>
    </w:rPr>
  </w:style>
  <w:style w:type="paragraph" w:customStyle="1" w:styleId="155">
    <w:name w:val="前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7">
    <w:name w:val="实施日期"/>
    <w:basedOn w:val="123"/>
    <w:qFormat/>
    <w:uiPriority w:val="0"/>
    <w:pPr>
      <w:framePr w:hSpace="0" w:wrap="around" w:xAlign="right"/>
      <w:jc w:val="right"/>
    </w:pPr>
  </w:style>
  <w:style w:type="paragraph" w:customStyle="1" w:styleId="158">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autoRedefine/>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qFormat/>
    <w:uiPriority w:val="0"/>
    <w:pPr>
      <w:numPr>
        <w:ilvl w:val="6"/>
        <w:numId w:val="20"/>
      </w:numPr>
      <w:adjustRightInd/>
    </w:pPr>
    <w:rPr>
      <w:szCs w:val="24"/>
    </w:rPr>
  </w:style>
  <w:style w:type="paragraph" w:customStyle="1" w:styleId="162">
    <w:name w:val="一级无标题条"/>
    <w:basedOn w:val="1"/>
    <w:autoRedefine/>
    <w:qFormat/>
    <w:uiPriority w:val="0"/>
    <w:pPr>
      <w:numPr>
        <w:ilvl w:val="2"/>
        <w:numId w:val="20"/>
      </w:numPr>
      <w:adjustRightInd/>
      <w:spacing w:before="10" w:after="10" w:line="240" w:lineRule="auto"/>
    </w:pPr>
    <w:rPr>
      <w:rFonts w:ascii="宋体" w:hAnsi="宋体"/>
      <w:szCs w:val="24"/>
    </w:rPr>
  </w:style>
  <w:style w:type="paragraph" w:customStyle="1" w:styleId="163">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qFormat/>
    <w:uiPriority w:val="0"/>
    <w:pPr>
      <w:ind w:left="1406" w:leftChars="0" w:hanging="499" w:firstLineChars="0"/>
    </w:pPr>
  </w:style>
  <w:style w:type="paragraph" w:customStyle="1" w:styleId="165">
    <w:name w:val="标准文件_一级无标题"/>
    <w:basedOn w:val="108"/>
    <w:qFormat/>
    <w:uiPriority w:val="0"/>
    <w:pPr>
      <w:spacing w:beforeLines="0" w:afterLines="0"/>
      <w:outlineLvl w:val="9"/>
    </w:pPr>
    <w:rPr>
      <w:rFonts w:ascii="宋体" w:eastAsia="宋体"/>
    </w:rPr>
  </w:style>
  <w:style w:type="paragraph" w:customStyle="1" w:styleId="166">
    <w:name w:val="标准文件_五级无标题"/>
    <w:basedOn w:val="106"/>
    <w:qFormat/>
    <w:uiPriority w:val="0"/>
    <w:pPr>
      <w:spacing w:beforeLines="0" w:afterLines="0"/>
      <w:outlineLvl w:val="9"/>
    </w:pPr>
    <w:rPr>
      <w:rFonts w:ascii="宋体" w:eastAsia="宋体"/>
    </w:rPr>
  </w:style>
  <w:style w:type="paragraph" w:customStyle="1" w:styleId="167">
    <w:name w:val="标准文件_三级无标题"/>
    <w:basedOn w:val="97"/>
    <w:qFormat/>
    <w:uiPriority w:val="0"/>
    <w:pPr>
      <w:spacing w:beforeLines="0" w:afterLines="0"/>
      <w:outlineLvl w:val="9"/>
    </w:pPr>
    <w:rPr>
      <w:rFonts w:ascii="宋体" w:eastAsia="宋体"/>
    </w:rPr>
  </w:style>
  <w:style w:type="paragraph" w:customStyle="1" w:styleId="168">
    <w:name w:val="标准文件_二级无标题"/>
    <w:basedOn w:val="68"/>
    <w:qFormat/>
    <w:uiPriority w:val="0"/>
    <w:pPr>
      <w:spacing w:beforeLines="0" w:afterLines="0"/>
      <w:outlineLvl w:val="9"/>
    </w:pPr>
    <w:rPr>
      <w:rFonts w:ascii="宋体" w:eastAsia="宋体"/>
    </w:rPr>
  </w:style>
  <w:style w:type="paragraph" w:customStyle="1" w:styleId="169">
    <w:name w:val="标准_四级无标题"/>
    <w:basedOn w:val="101"/>
    <w:next w:val="59"/>
    <w:qFormat/>
    <w:uiPriority w:val="0"/>
    <w:rPr>
      <w:rFonts w:eastAsia="宋体"/>
    </w:rPr>
  </w:style>
  <w:style w:type="paragraph" w:customStyle="1" w:styleId="170">
    <w:name w:val="标准文件_四级无标题"/>
    <w:basedOn w:val="101"/>
    <w:qFormat/>
    <w:uiPriority w:val="0"/>
    <w:pPr>
      <w:spacing w:beforeLines="0" w:afterLines="0"/>
      <w:outlineLvl w:val="9"/>
    </w:pPr>
    <w:rPr>
      <w:rFonts w:ascii="宋体" w:hAnsi="黑体" w:eastAsia="宋体"/>
      <w:szCs w:val="52"/>
    </w:rPr>
  </w:style>
  <w:style w:type="paragraph" w:customStyle="1" w:styleId="171">
    <w:name w:val="标准文件_大写罗马数字编号列项"/>
    <w:basedOn w:val="59"/>
    <w:qFormat/>
    <w:uiPriority w:val="0"/>
    <w:pPr>
      <w:numPr>
        <w:ilvl w:val="0"/>
        <w:numId w:val="23"/>
      </w:numPr>
      <w:ind w:firstLine="0" w:firstLineChars="0"/>
    </w:pPr>
    <w:rPr>
      <w:rFonts w:ascii="Times New Roman" w:cs="Arial"/>
      <w:szCs w:val="28"/>
    </w:rPr>
  </w:style>
  <w:style w:type="paragraph" w:customStyle="1" w:styleId="172">
    <w:name w:val="标准文件_小写罗马数字编号列项"/>
    <w:basedOn w:val="59"/>
    <w:autoRedefine/>
    <w:qFormat/>
    <w:uiPriority w:val="0"/>
    <w:pPr>
      <w:numPr>
        <w:ilvl w:val="0"/>
        <w:numId w:val="24"/>
      </w:numPr>
      <w:ind w:firstLine="0" w:firstLineChars="0"/>
    </w:pPr>
    <w:rPr>
      <w:rFonts w:cs="Arial"/>
      <w:szCs w:val="28"/>
    </w:rPr>
  </w:style>
  <w:style w:type="paragraph" w:customStyle="1" w:styleId="173">
    <w:name w:val="标准文件_附录标题"/>
    <w:basedOn w:val="79"/>
    <w:qFormat/>
    <w:uiPriority w:val="0"/>
    <w:pPr>
      <w:numPr>
        <w:numId w:val="0"/>
      </w:numPr>
      <w:spacing w:after="280"/>
      <w:outlineLvl w:val="9"/>
    </w:pPr>
  </w:style>
  <w:style w:type="paragraph" w:customStyle="1" w:styleId="174">
    <w:name w:val="标准文件_二级项"/>
    <w:qFormat/>
    <w:uiPriority w:val="0"/>
    <w:rPr>
      <w:rFonts w:ascii="宋体" w:hAnsi="Times New Roman" w:eastAsia="宋体" w:cs="Times New Roman"/>
      <w:sz w:val="21"/>
      <w:lang w:val="en-US" w:eastAsia="zh-CN" w:bidi="ar-SA"/>
    </w:rPr>
  </w:style>
  <w:style w:type="paragraph" w:customStyle="1" w:styleId="175">
    <w:name w:val="标准文件_三级项"/>
    <w:basedOn w:val="1"/>
    <w:autoRedefine/>
    <w:qFormat/>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qFormat/>
    <w:uiPriority w:val="0"/>
    <w:pPr>
      <w:numPr>
        <w:ilvl w:val="0"/>
        <w:numId w:val="25"/>
      </w:numPr>
      <w:adjustRightInd/>
      <w:spacing w:line="240" w:lineRule="auto"/>
      <w:ind w:left="783"/>
    </w:pPr>
    <w:rPr>
      <w:rFonts w:ascii="宋体" w:hAnsi="Times New Roman"/>
      <w:sz w:val="18"/>
      <w:szCs w:val="18"/>
    </w:rPr>
  </w:style>
  <w:style w:type="paragraph" w:customStyle="1" w:styleId="177">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autoRedefine/>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qFormat/>
    <w:uiPriority w:val="0"/>
    <w:pPr>
      <w:spacing w:beforeLines="20"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autoRedefine/>
    <w:qFormat/>
    <w:uiPriority w:val="0"/>
    <w:pPr>
      <w:ind w:firstLine="0" w:firstLineChars="0"/>
      <w:jc w:val="center"/>
    </w:pPr>
    <w:rPr>
      <w:sz w:val="18"/>
    </w:rPr>
  </w:style>
  <w:style w:type="paragraph" w:customStyle="1" w:styleId="182">
    <w:name w:val="标准文件_注："/>
    <w:next w:val="59"/>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autoRedefine/>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qFormat/>
    <w:uiPriority w:val="0"/>
    <w:pPr>
      <w:ind w:firstLine="420"/>
    </w:pPr>
    <w:rPr>
      <w:sz w:val="18"/>
    </w:rPr>
  </w:style>
  <w:style w:type="paragraph" w:customStyle="1" w:styleId="186">
    <w:name w:val="标准文件_示例×："/>
    <w:basedOn w:val="1"/>
    <w:next w:val="185"/>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7">
    <w:name w:val="标准文件_段 Char"/>
    <w:link w:val="59"/>
    <w:qFormat/>
    <w:uiPriority w:val="0"/>
    <w:rPr>
      <w:rFonts w:ascii="宋体" w:hAnsi="Times New Roman"/>
      <w:sz w:val="21"/>
    </w:rPr>
  </w:style>
  <w:style w:type="paragraph" w:customStyle="1" w:styleId="188">
    <w:name w:val="标准文件_表格续"/>
    <w:basedOn w:val="59"/>
    <w:next w:val="59"/>
    <w:qFormat/>
    <w:uiPriority w:val="0"/>
    <w:pPr>
      <w:jc w:val="center"/>
    </w:pPr>
    <w:rPr>
      <w:rFonts w:ascii="黑体" w:hAnsi="黑体" w:eastAsia="黑体"/>
    </w:rPr>
  </w:style>
  <w:style w:type="character" w:styleId="189">
    <w:name w:val="Placeholder Text"/>
    <w:basedOn w:val="31"/>
    <w:semiHidden/>
    <w:qFormat/>
    <w:uiPriority w:val="99"/>
    <w:rPr>
      <w:color w:val="808080"/>
    </w:rPr>
  </w:style>
  <w:style w:type="paragraph" w:customStyle="1" w:styleId="190">
    <w:name w:val="标准文件_二级项2"/>
    <w:basedOn w:val="59"/>
    <w:qFormat/>
    <w:uiPriority w:val="0"/>
    <w:pPr>
      <w:numPr>
        <w:ilvl w:val="1"/>
        <w:numId w:val="21"/>
      </w:numPr>
      <w:ind w:left="1271" w:hanging="420" w:firstLineChars="0"/>
    </w:pPr>
  </w:style>
  <w:style w:type="paragraph" w:customStyle="1" w:styleId="191">
    <w:name w:val="标准文件_三级项2"/>
    <w:basedOn w:val="59"/>
    <w:autoRedefine/>
    <w:qFormat/>
    <w:uiPriority w:val="0"/>
    <w:pPr>
      <w:numPr>
        <w:ilvl w:val="0"/>
        <w:numId w:val="30"/>
      </w:numPr>
      <w:spacing w:line="300" w:lineRule="exact"/>
      <w:ind w:left="1276" w:hanging="425" w:firstLineChars="0"/>
    </w:pPr>
    <w:rPr>
      <w:rFonts w:ascii="Times New Roman"/>
    </w:rPr>
  </w:style>
  <w:style w:type="paragraph" w:customStyle="1" w:styleId="192">
    <w:name w:val="标准文件_一级项2"/>
    <w:basedOn w:val="59"/>
    <w:qFormat/>
    <w:uiPriority w:val="0"/>
    <w:pPr>
      <w:numPr>
        <w:ilvl w:val="0"/>
        <w:numId w:val="31"/>
      </w:numPr>
      <w:spacing w:line="300" w:lineRule="exact"/>
      <w:ind w:left="1271" w:hanging="420" w:firstLineChars="0"/>
    </w:pPr>
    <w:rPr>
      <w:rFonts w:ascii="Times New Roman"/>
    </w:rPr>
  </w:style>
  <w:style w:type="paragraph" w:customStyle="1" w:styleId="193">
    <w:name w:val="标准文件_提示"/>
    <w:basedOn w:val="59"/>
    <w:next w:val="59"/>
    <w:qFormat/>
    <w:uiPriority w:val="0"/>
    <w:pPr>
      <w:ind w:firstLine="420"/>
    </w:pPr>
    <w:rPr>
      <w:rFonts w:ascii="黑体" w:eastAsia="黑体"/>
    </w:rPr>
  </w:style>
  <w:style w:type="character" w:customStyle="1" w:styleId="194">
    <w:name w:val="标准文件_来源"/>
    <w:basedOn w:val="31"/>
    <w:autoRedefine/>
    <w:qFormat/>
    <w:uiPriority w:val="1"/>
    <w:rPr>
      <w:rFonts w:eastAsia="宋体"/>
      <w:sz w:val="21"/>
    </w:rPr>
  </w:style>
  <w:style w:type="paragraph" w:customStyle="1" w:styleId="195">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autoRedefine/>
    <w:qFormat/>
    <w:uiPriority w:val="0"/>
    <w:pPr>
      <w:framePr w:w="3997" w:h="471" w:hRule="exact" w:hSpace="0" w:vSpace="181" w:wrap="around" w:vAnchor="page" w:hAnchor="page" w:x="1419" w:y="14097"/>
    </w:pPr>
  </w:style>
  <w:style w:type="paragraph" w:customStyle="1" w:styleId="197">
    <w:name w:val="其他实施日期"/>
    <w:basedOn w:val="157"/>
    <w:qFormat/>
    <w:uiPriority w:val="0"/>
    <w:pPr>
      <w:framePr w:w="3997" w:h="471" w:hRule="exact" w:vSpace="181" w:wrap="around" w:vAnchor="page" w:hAnchor="page" w:x="7089" w:y="14097"/>
    </w:pPr>
  </w:style>
  <w:style w:type="paragraph" w:customStyle="1" w:styleId="198">
    <w:name w:val="标准文件_文件编号"/>
    <w:basedOn w:val="59"/>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autoRedefine/>
    <w:qFormat/>
    <w:uiPriority w:val="0"/>
    <w:pPr>
      <w:spacing w:before="57"/>
    </w:pPr>
    <w:rPr>
      <w:sz w:val="21"/>
    </w:rPr>
  </w:style>
  <w:style w:type="paragraph" w:customStyle="1" w:styleId="200">
    <w:name w:val="标准文件_文件名称"/>
    <w:basedOn w:val="59"/>
    <w:next w:val="59"/>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autoRedefine/>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qFormat/>
    <w:uiPriority w:val="0"/>
    <w:pPr>
      <w:numPr>
        <w:ilvl w:val="1"/>
        <w:numId w:val="8"/>
      </w:numPr>
      <w:spacing w:beforeLines="50" w:afterLines="50"/>
      <w:ind w:firstLineChars="0"/>
    </w:pPr>
    <w:rPr>
      <w:rFonts w:ascii="黑体" w:eastAsia="黑体"/>
    </w:rPr>
  </w:style>
  <w:style w:type="paragraph" w:customStyle="1" w:styleId="204">
    <w:name w:val="标准文件_引言二级条标题"/>
    <w:basedOn w:val="59"/>
    <w:next w:val="59"/>
    <w:qFormat/>
    <w:uiPriority w:val="0"/>
    <w:pPr>
      <w:numPr>
        <w:ilvl w:val="2"/>
        <w:numId w:val="8"/>
      </w:numPr>
      <w:spacing w:beforeLines="50" w:afterLines="50"/>
      <w:ind w:firstLineChars="0"/>
    </w:pPr>
    <w:rPr>
      <w:rFonts w:ascii="黑体" w:eastAsia="黑体"/>
    </w:rPr>
  </w:style>
  <w:style w:type="paragraph" w:customStyle="1" w:styleId="205">
    <w:name w:val="标准文件_引言三级条标题"/>
    <w:basedOn w:val="59"/>
    <w:next w:val="59"/>
    <w:qFormat/>
    <w:uiPriority w:val="0"/>
    <w:pPr>
      <w:numPr>
        <w:ilvl w:val="3"/>
        <w:numId w:val="8"/>
      </w:numPr>
      <w:spacing w:beforeLines="50" w:afterLines="50"/>
      <w:ind w:firstLineChars="0"/>
    </w:pPr>
    <w:rPr>
      <w:rFonts w:ascii="黑体" w:eastAsia="黑体"/>
    </w:rPr>
  </w:style>
  <w:style w:type="paragraph" w:customStyle="1" w:styleId="206">
    <w:name w:val="标准文件_引言四级条标题"/>
    <w:basedOn w:val="59"/>
    <w:next w:val="59"/>
    <w:qFormat/>
    <w:uiPriority w:val="0"/>
    <w:pPr>
      <w:numPr>
        <w:ilvl w:val="4"/>
        <w:numId w:val="8"/>
      </w:numPr>
      <w:spacing w:beforeLines="50" w:afterLines="50"/>
      <w:ind w:firstLineChars="0"/>
    </w:pPr>
    <w:rPr>
      <w:rFonts w:ascii="黑体" w:eastAsia="黑体"/>
    </w:rPr>
  </w:style>
  <w:style w:type="paragraph" w:customStyle="1" w:styleId="207">
    <w:name w:val="标准文件_引言五级条标题"/>
    <w:basedOn w:val="59"/>
    <w:next w:val="59"/>
    <w:qFormat/>
    <w:uiPriority w:val="0"/>
    <w:pPr>
      <w:numPr>
        <w:ilvl w:val="5"/>
        <w:numId w:val="8"/>
      </w:numPr>
      <w:spacing w:beforeLines="50" w:afterLines="50"/>
      <w:ind w:firstLineChars="0"/>
    </w:pPr>
    <w:rPr>
      <w:rFonts w:ascii="黑体" w:eastAsia="黑体"/>
    </w:rPr>
  </w:style>
  <w:style w:type="paragraph" w:customStyle="1" w:styleId="208">
    <w:name w:val="标准文件_注后"/>
    <w:basedOn w:val="59"/>
    <w:qFormat/>
    <w:uiPriority w:val="0"/>
    <w:pPr>
      <w:ind w:left="811" w:firstLine="0" w:firstLineChars="0"/>
    </w:pPr>
    <w:rPr>
      <w:sz w:val="18"/>
    </w:rPr>
  </w:style>
  <w:style w:type="paragraph" w:customStyle="1" w:styleId="209">
    <w:name w:val="标准文件_注X后"/>
    <w:basedOn w:val="59"/>
    <w:qFormat/>
    <w:uiPriority w:val="0"/>
    <w:pPr>
      <w:ind w:left="811" w:firstLine="0" w:firstLineChars="0"/>
    </w:pPr>
    <w:rPr>
      <w:sz w:val="18"/>
    </w:rPr>
  </w:style>
  <w:style w:type="paragraph" w:customStyle="1" w:styleId="210">
    <w:name w:val="标准文件_示例后"/>
    <w:basedOn w:val="59"/>
    <w:qFormat/>
    <w:uiPriority w:val="0"/>
    <w:pPr>
      <w:ind w:left="964" w:firstLine="0" w:firstLineChars="0"/>
    </w:pPr>
    <w:rPr>
      <w:sz w:val="18"/>
    </w:rPr>
  </w:style>
  <w:style w:type="paragraph" w:customStyle="1" w:styleId="211">
    <w:name w:val="标准文件_示例X后"/>
    <w:basedOn w:val="59"/>
    <w:link w:val="212"/>
    <w:qFormat/>
    <w:uiPriority w:val="0"/>
    <w:pPr>
      <w:ind w:left="1049" w:firstLine="0" w:firstLineChars="0"/>
    </w:pPr>
    <w:rPr>
      <w:sz w:val="18"/>
    </w:rPr>
  </w:style>
  <w:style w:type="character" w:customStyle="1" w:styleId="212">
    <w:name w:val="标准文件_示例X后 字符"/>
    <w:basedOn w:val="187"/>
    <w:link w:val="211"/>
    <w:autoRedefine/>
    <w:qFormat/>
    <w:uiPriority w:val="0"/>
    <w:rPr>
      <w:rFonts w:ascii="宋体" w:hAnsi="Times New Roman"/>
      <w:sz w:val="18"/>
    </w:rPr>
  </w:style>
  <w:style w:type="paragraph" w:customStyle="1" w:styleId="213">
    <w:name w:val="标准文件_索引项"/>
    <w:basedOn w:val="59"/>
    <w:next w:val="59"/>
    <w:qFormat/>
    <w:uiPriority w:val="0"/>
    <w:pPr>
      <w:tabs>
        <w:tab w:val="right" w:leader="dot" w:pos="9356"/>
      </w:tabs>
      <w:ind w:left="210" w:hanging="210" w:firstLineChars="0"/>
      <w:jc w:val="left"/>
    </w:pPr>
  </w:style>
  <w:style w:type="paragraph" w:customStyle="1" w:styleId="214">
    <w:name w:val="标准文件_附录一级无标题"/>
    <w:basedOn w:val="81"/>
    <w:qFormat/>
    <w:uiPriority w:val="0"/>
    <w:pPr>
      <w:spacing w:beforeLines="0" w:afterLines="0" w:line="276" w:lineRule="auto"/>
      <w:outlineLvl w:val="9"/>
    </w:pPr>
    <w:rPr>
      <w:rFonts w:ascii="宋体" w:eastAsia="宋体"/>
    </w:rPr>
  </w:style>
  <w:style w:type="paragraph" w:customStyle="1" w:styleId="215">
    <w:name w:val="标准文件_附录二级无标题"/>
    <w:basedOn w:val="82"/>
    <w:qFormat/>
    <w:uiPriority w:val="0"/>
    <w:pPr>
      <w:spacing w:beforeLines="0" w:afterLines="0" w:line="276" w:lineRule="auto"/>
      <w:outlineLvl w:val="9"/>
    </w:pPr>
    <w:rPr>
      <w:rFonts w:ascii="宋体" w:eastAsia="宋体"/>
    </w:rPr>
  </w:style>
  <w:style w:type="paragraph" w:customStyle="1" w:styleId="216">
    <w:name w:val="标准文件_附录三级无标题"/>
    <w:basedOn w:val="84"/>
    <w:autoRedefine/>
    <w:qFormat/>
    <w:uiPriority w:val="0"/>
    <w:pPr>
      <w:spacing w:beforeLines="0" w:afterLines="0" w:line="276" w:lineRule="auto"/>
      <w:outlineLvl w:val="9"/>
    </w:pPr>
    <w:rPr>
      <w:rFonts w:ascii="宋体" w:eastAsia="宋体"/>
    </w:rPr>
  </w:style>
  <w:style w:type="paragraph" w:customStyle="1" w:styleId="217">
    <w:name w:val="标准文件_附录四级无标题"/>
    <w:basedOn w:val="85"/>
    <w:qFormat/>
    <w:uiPriority w:val="0"/>
    <w:pPr>
      <w:spacing w:beforeLines="0" w:afterLines="0" w:line="276" w:lineRule="auto"/>
      <w:outlineLvl w:val="9"/>
    </w:pPr>
    <w:rPr>
      <w:rFonts w:ascii="宋体" w:eastAsia="宋体"/>
    </w:rPr>
  </w:style>
  <w:style w:type="paragraph" w:customStyle="1" w:styleId="218">
    <w:name w:val="标准文件_附录五级无标题"/>
    <w:basedOn w:val="87"/>
    <w:qFormat/>
    <w:uiPriority w:val="0"/>
    <w:pPr>
      <w:spacing w:beforeLines="0" w:afterLines="0" w:line="276" w:lineRule="auto"/>
      <w:outlineLvl w:val="9"/>
    </w:pPr>
    <w:rPr>
      <w:rFonts w:ascii="宋体" w:eastAsia="宋体"/>
    </w:rPr>
  </w:style>
  <w:style w:type="paragraph" w:customStyle="1" w:styleId="219">
    <w:name w:val="标准文件_引言一级无标题"/>
    <w:basedOn w:val="203"/>
    <w:next w:val="59"/>
    <w:qFormat/>
    <w:uiPriority w:val="0"/>
    <w:pPr>
      <w:spacing w:beforeLines="0" w:afterLines="0" w:line="276" w:lineRule="auto"/>
    </w:pPr>
    <w:rPr>
      <w:rFonts w:ascii="宋体" w:eastAsia="宋体"/>
    </w:rPr>
  </w:style>
  <w:style w:type="paragraph" w:customStyle="1" w:styleId="220">
    <w:name w:val="标准文件_引言二级无标题"/>
    <w:basedOn w:val="204"/>
    <w:next w:val="59"/>
    <w:qFormat/>
    <w:uiPriority w:val="0"/>
    <w:pPr>
      <w:spacing w:beforeLines="0" w:afterLines="0" w:line="276" w:lineRule="auto"/>
    </w:pPr>
    <w:rPr>
      <w:rFonts w:ascii="宋体" w:eastAsia="宋体"/>
    </w:rPr>
  </w:style>
  <w:style w:type="paragraph" w:customStyle="1" w:styleId="221">
    <w:name w:val="标准文件_引言三级无标题"/>
    <w:basedOn w:val="205"/>
    <w:next w:val="59"/>
    <w:autoRedefine/>
    <w:qFormat/>
    <w:uiPriority w:val="0"/>
    <w:pPr>
      <w:spacing w:beforeLines="0" w:afterLines="0" w:line="276" w:lineRule="auto"/>
    </w:pPr>
    <w:rPr>
      <w:rFonts w:ascii="宋体" w:eastAsia="宋体"/>
    </w:rPr>
  </w:style>
  <w:style w:type="paragraph" w:customStyle="1" w:styleId="222">
    <w:name w:val="标准文件_引言四级无标题"/>
    <w:basedOn w:val="206"/>
    <w:next w:val="59"/>
    <w:qFormat/>
    <w:uiPriority w:val="0"/>
    <w:pPr>
      <w:spacing w:beforeLines="0" w:afterLines="0" w:line="276" w:lineRule="auto"/>
    </w:pPr>
    <w:rPr>
      <w:rFonts w:ascii="宋体" w:eastAsia="宋体"/>
    </w:rPr>
  </w:style>
  <w:style w:type="paragraph" w:customStyle="1" w:styleId="223">
    <w:name w:val="标准文件_引言五级无标题"/>
    <w:basedOn w:val="207"/>
    <w:next w:val="59"/>
    <w:qFormat/>
    <w:uiPriority w:val="0"/>
    <w:pPr>
      <w:spacing w:beforeLines="0" w:afterLines="0" w:line="276" w:lineRule="auto"/>
    </w:pPr>
    <w:rPr>
      <w:rFonts w:ascii="宋体" w:eastAsia="宋体"/>
    </w:rPr>
  </w:style>
  <w:style w:type="paragraph" w:customStyle="1" w:styleId="224">
    <w:name w:val="标准文件_索引标题"/>
    <w:basedOn w:val="66"/>
    <w:next w:val="59"/>
    <w:qFormat/>
    <w:uiPriority w:val="0"/>
    <w:rPr>
      <w:rFonts w:hAnsi="黑体"/>
    </w:rPr>
  </w:style>
  <w:style w:type="paragraph" w:customStyle="1" w:styleId="225">
    <w:name w:val="标准文件_脚注内容"/>
    <w:basedOn w:val="59"/>
    <w:qFormat/>
    <w:uiPriority w:val="0"/>
    <w:pPr>
      <w:ind w:left="400" w:leftChars="200" w:hanging="200" w:hangingChars="200"/>
    </w:pPr>
    <w:rPr>
      <w:sz w:val="15"/>
    </w:rPr>
  </w:style>
  <w:style w:type="paragraph" w:customStyle="1" w:styleId="226">
    <w:name w:val="标准文件_术语条一"/>
    <w:basedOn w:val="165"/>
    <w:next w:val="59"/>
    <w:autoRedefine/>
    <w:qFormat/>
    <w:uiPriority w:val="0"/>
  </w:style>
  <w:style w:type="paragraph" w:customStyle="1" w:styleId="227">
    <w:name w:val="标准文件_术语条二"/>
    <w:basedOn w:val="168"/>
    <w:next w:val="59"/>
    <w:qFormat/>
    <w:uiPriority w:val="0"/>
  </w:style>
  <w:style w:type="paragraph" w:customStyle="1" w:styleId="228">
    <w:name w:val="标准文件_术语条三"/>
    <w:basedOn w:val="167"/>
    <w:next w:val="59"/>
    <w:autoRedefine/>
    <w:qFormat/>
    <w:uiPriority w:val="0"/>
  </w:style>
  <w:style w:type="paragraph" w:customStyle="1" w:styleId="229">
    <w:name w:val="标准文件_术语条四"/>
    <w:basedOn w:val="170"/>
    <w:next w:val="59"/>
    <w:autoRedefine/>
    <w:qFormat/>
    <w:uiPriority w:val="0"/>
  </w:style>
  <w:style w:type="paragraph" w:customStyle="1" w:styleId="230">
    <w:name w:val="标准文件_术语条五"/>
    <w:basedOn w:val="166"/>
    <w:next w:val="59"/>
    <w:qFormat/>
    <w:uiPriority w:val="0"/>
  </w:style>
  <w:style w:type="paragraph" w:customStyle="1" w:styleId="2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31"/>
    <w:qFormat/>
    <w:uiPriority w:val="0"/>
    <w:rPr>
      <w:rFonts w:ascii="黑体" w:eastAsia="黑体"/>
      <w:spacing w:val="85"/>
      <w:w w:val="100"/>
      <w:position w:val="3"/>
      <w:sz w:val="28"/>
      <w:szCs w:val="28"/>
    </w:rPr>
  </w:style>
  <w:style w:type="paragraph" w:customStyle="1" w:styleId="233">
    <w:name w:val="段"/>
    <w:link w:val="234"/>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4">
    <w:name w:val="段 Char"/>
    <w:link w:val="233"/>
    <w:qFormat/>
    <w:uiPriority w:val="0"/>
    <w:rPr>
      <w:rFonts w:ascii="宋体" w:hAnsi="Times New Roman"/>
      <w:sz w:val="21"/>
    </w:rPr>
  </w:style>
  <w:style w:type="paragraph" w:customStyle="1" w:styleId="235">
    <w:name w:val="一级条标题"/>
    <w:next w:val="233"/>
    <w:autoRedefine/>
    <w:qFormat/>
    <w:uiPriority w:val="0"/>
    <w:pPr>
      <w:numPr>
        <w:ilvl w:val="1"/>
        <w:numId w:val="32"/>
      </w:numPr>
      <w:spacing w:beforeLines="50" w:afterLines="50"/>
      <w:outlineLvl w:val="2"/>
    </w:pPr>
    <w:rPr>
      <w:rFonts w:ascii="黑体" w:hAnsi="Times New Roman" w:eastAsia="黑体" w:cs="Times New Roman"/>
      <w:sz w:val="21"/>
      <w:szCs w:val="21"/>
      <w:lang w:val="en-US" w:eastAsia="zh-CN" w:bidi="ar-SA"/>
    </w:rPr>
  </w:style>
  <w:style w:type="paragraph" w:customStyle="1" w:styleId="236">
    <w:name w:val="章标题"/>
    <w:next w:val="233"/>
    <w:qFormat/>
    <w:uiPriority w:val="0"/>
    <w:pPr>
      <w:numPr>
        <w:ilvl w:val="0"/>
        <w:numId w:val="32"/>
      </w:numPr>
      <w:spacing w:beforeLines="100" w:afterLines="100"/>
      <w:jc w:val="both"/>
      <w:outlineLvl w:val="1"/>
    </w:pPr>
    <w:rPr>
      <w:rFonts w:ascii="黑体" w:hAnsi="Times New Roman" w:eastAsia="黑体" w:cs="Times New Roman"/>
      <w:sz w:val="21"/>
      <w:lang w:val="en-US" w:eastAsia="zh-CN" w:bidi="ar-SA"/>
    </w:rPr>
  </w:style>
  <w:style w:type="paragraph" w:customStyle="1" w:styleId="237">
    <w:name w:val="二级条标题"/>
    <w:basedOn w:val="235"/>
    <w:next w:val="233"/>
    <w:qFormat/>
    <w:uiPriority w:val="0"/>
    <w:pPr>
      <w:numPr>
        <w:ilvl w:val="2"/>
      </w:numPr>
      <w:spacing w:before="50" w:after="50"/>
      <w:outlineLvl w:val="3"/>
    </w:pPr>
  </w:style>
  <w:style w:type="paragraph" w:customStyle="1" w:styleId="238">
    <w:name w:val="四级条标题"/>
    <w:basedOn w:val="1"/>
    <w:next w:val="233"/>
    <w:qFormat/>
    <w:uiPriority w:val="0"/>
    <w:pPr>
      <w:widowControl/>
      <w:numPr>
        <w:ilvl w:val="4"/>
        <w:numId w:val="32"/>
      </w:numPr>
      <w:adjustRightInd/>
      <w:spacing w:beforeLines="50" w:afterLines="50" w:line="240" w:lineRule="auto"/>
      <w:jc w:val="left"/>
      <w:outlineLvl w:val="5"/>
    </w:pPr>
    <w:rPr>
      <w:rFonts w:ascii="黑体" w:hAnsi="Times New Roman" w:eastAsia="黑体"/>
      <w:kern w:val="0"/>
    </w:rPr>
  </w:style>
  <w:style w:type="paragraph" w:customStyle="1" w:styleId="239">
    <w:name w:val="五级条标题"/>
    <w:basedOn w:val="238"/>
    <w:next w:val="233"/>
    <w:qFormat/>
    <w:uiPriority w:val="0"/>
    <w:pPr>
      <w:numPr>
        <w:ilvl w:val="5"/>
      </w:numPr>
      <w:outlineLvl w:val="6"/>
    </w:pPr>
  </w:style>
  <w:style w:type="character" w:customStyle="1" w:styleId="240">
    <w:name w:val="theinfocontent"/>
    <w:autoRedefine/>
    <w:qFormat/>
    <w:uiPriority w:val="0"/>
  </w:style>
  <w:style w:type="paragraph" w:customStyle="1" w:styleId="241">
    <w:name w:val="附录标识"/>
    <w:basedOn w:val="242"/>
    <w:qFormat/>
    <w:uiPriority w:val="0"/>
    <w:pPr>
      <w:numPr>
        <w:numId w:val="0"/>
      </w:numPr>
      <w:tabs>
        <w:tab w:val="left" w:pos="6405"/>
      </w:tabs>
      <w:spacing w:after="200"/>
    </w:pPr>
    <w:rPr>
      <w:sz w:val="21"/>
    </w:rPr>
  </w:style>
  <w:style w:type="paragraph" w:customStyle="1" w:styleId="242">
    <w:name w:val="前言、引言标题"/>
    <w:next w:val="1"/>
    <w:qFormat/>
    <w:uiPriority w:val="0"/>
    <w:pPr>
      <w:numPr>
        <w:ilvl w:val="0"/>
        <w:numId w:val="2"/>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3">
    <w:name w:val="附录一级条标题"/>
    <w:basedOn w:val="244"/>
    <w:next w:val="233"/>
    <w:autoRedefine/>
    <w:qFormat/>
    <w:uiPriority w:val="0"/>
    <w:pPr>
      <w:autoSpaceDN w:val="0"/>
      <w:spacing w:beforeLines="0" w:afterLines="0"/>
      <w:outlineLvl w:val="2"/>
    </w:pPr>
  </w:style>
  <w:style w:type="paragraph" w:customStyle="1" w:styleId="244">
    <w:name w:val="附录章标题"/>
    <w:next w:val="233"/>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245">
    <w:name w:val="附录图标题"/>
    <w:next w:val="233"/>
    <w:qFormat/>
    <w:uiPriority w:val="0"/>
    <w:pPr>
      <w:jc w:val="center"/>
    </w:pPr>
    <w:rPr>
      <w:rFonts w:ascii="黑体" w:hAnsi="Times New Roman" w:eastAsia="黑体" w:cs="Times New Roman"/>
      <w:sz w:val="21"/>
      <w:lang w:val="en-US" w:eastAsia="zh-CN" w:bidi="ar-SA"/>
    </w:rPr>
  </w:style>
  <w:style w:type="paragraph" w:customStyle="1" w:styleId="246">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247">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248">
    <w:name w:val="TOC 标题1"/>
    <w:basedOn w:val="2"/>
    <w:next w:val="1"/>
    <w:semiHidden/>
    <w:unhideWhenUsed/>
    <w:qFormat/>
    <w:uiPriority w:val="39"/>
    <w:pPr>
      <w:widowControl/>
      <w:adjustRightInd/>
      <w:spacing w:before="480" w:after="0" w:line="276" w:lineRule="auto"/>
      <w:jc w:val="left"/>
      <w:outlineLvl w:val="9"/>
    </w:pPr>
    <w:rPr>
      <w:rFonts w:asciiTheme="majorHAnsi" w:hAnsiTheme="majorHAnsi" w:eastAsiaTheme="majorEastAsia" w:cstheme="majorBidi"/>
      <w:color w:val="2F5597" w:themeColor="accent1" w:themeShade="BF"/>
      <w:kern w:val="0"/>
      <w:sz w:val="28"/>
      <w:szCs w:val="28"/>
    </w:rPr>
  </w:style>
  <w:style w:type="paragraph" w:customStyle="1" w:styleId="249">
    <w:name w:val="附录表标题"/>
    <w:basedOn w:val="1"/>
    <w:next w:val="233"/>
    <w:qFormat/>
    <w:uiPriority w:val="0"/>
    <w:pPr>
      <w:numPr>
        <w:ilvl w:val="1"/>
        <w:numId w:val="33"/>
      </w:numPr>
      <w:tabs>
        <w:tab w:val="left" w:pos="180"/>
      </w:tabs>
      <w:spacing w:beforeLines="50" w:afterLines="50"/>
      <w:ind w:left="0" w:firstLine="0"/>
      <w:jc w:val="center"/>
    </w:pPr>
    <w:rPr>
      <w:rFonts w:ascii="黑体" w:eastAsia="黑体"/>
    </w:rPr>
  </w:style>
  <w:style w:type="character" w:customStyle="1" w:styleId="250">
    <w:name w:val="日期 Char"/>
    <w:basedOn w:val="31"/>
    <w:link w:val="17"/>
    <w:semiHidden/>
    <w:qFormat/>
    <w:uiPriority w:val="99"/>
    <w:rPr>
      <w:rFonts w:ascii="Calibri" w:hAnsi="Calibri"/>
      <w:kern w:val="2"/>
      <w:sz w:val="21"/>
      <w:szCs w:val="21"/>
    </w:rPr>
  </w:style>
  <w:style w:type="table" w:customStyle="1" w:styleId="251">
    <w:name w:val="网格型1"/>
    <w:basedOn w:val="29"/>
    <w:autoRedefine/>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0" Type="http://schemas.openxmlformats.org/officeDocument/2006/relationships/fontTable" Target="fontTable.xml"/><Relationship Id="rId3" Type="http://schemas.openxmlformats.org/officeDocument/2006/relationships/footnotes" Target="footnotes.xml"/><Relationship Id="rId29" Type="http://schemas.microsoft.com/office/2006/relationships/keyMapCustomizations" Target="customizations.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1.xml"/><Relationship Id="rId23" Type="http://schemas.openxmlformats.org/officeDocument/2006/relationships/footer" Target="footer10.xml"/><Relationship Id="rId22" Type="http://schemas.openxmlformats.org/officeDocument/2006/relationships/footer" Target="footer9.xml"/><Relationship Id="rId21" Type="http://schemas.openxmlformats.org/officeDocument/2006/relationships/header" Target="head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2D3C35-3A0E-4D72-A12D-28EB9F148348}">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16</Pages>
  <Words>6879</Words>
  <Characters>7318</Characters>
  <Lines>64</Lines>
  <Paragraphs>18</Paragraphs>
  <TotalTime>8</TotalTime>
  <ScaleCrop>false</ScaleCrop>
  <LinksUpToDate>false</LinksUpToDate>
  <CharactersWithSpaces>7686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2021-01-19T00:35:00Z</dcterms:created>
  <dc:creator>Windows 用户</dc:creator>
  <dc:description>&lt;config cover="true" show_menu="true" version="1.0.0" doctype="SDKXY"&gt;_x000d_
&lt;/config&gt;</dc:description>
  <cp:lastModifiedBy>省局考核办</cp:lastModifiedBy>
  <cp:lastPrinted>2022-06-15T07:38:00Z</cp:lastPrinted>
  <dcterms:modified xsi:type="dcterms:W3CDTF">2024-05-30T05:47:55Z</dcterms:modified>
  <dc:title>地方标准</dc:title>
  <cp:revision>146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2052-12.1.0.16929</vt:lpwstr>
  </property>
  <property fmtid="{D5CDD505-2E9C-101B-9397-08002B2CF9AE}" pid="16" name="ICV">
    <vt:lpwstr>711B8814B9054ED78563896B946E4C81</vt:lpwstr>
  </property>
</Properties>
</file>